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C4" w:rsidRPr="0024140F" w:rsidRDefault="007E44C4" w:rsidP="0024140F">
      <w:pPr>
        <w:tabs>
          <w:tab w:val="left" w:pos="2991"/>
        </w:tabs>
        <w:kinsoku w:val="0"/>
        <w:overflowPunct w:val="0"/>
        <w:spacing w:line="444" w:lineRule="auto"/>
        <w:ind w:right="157"/>
        <w:rPr>
          <w:b/>
          <w:bCs/>
          <w:spacing w:val="-1"/>
        </w:rPr>
      </w:pPr>
      <w:bookmarkStart w:id="0" w:name="_GoBack"/>
      <w:bookmarkEnd w:id="0"/>
    </w:p>
    <w:p w:rsidR="00C26F08" w:rsidRDefault="00C26F08" w:rsidP="00C26F08">
      <w:pPr>
        <w:pStyle w:val="bcesutxfirst"/>
        <w:suppressAutoHyphens w:val="0"/>
        <w:spacing w:before="0" w:after="240" w:line="240" w:lineRule="auto"/>
        <w:jc w:val="left"/>
        <w:rPr>
          <w:rFonts w:ascii="Times New Roman" w:hAnsi="Times New Roman"/>
          <w:b/>
          <w:color w:val="auto"/>
          <w:sz w:val="24"/>
          <w:szCs w:val="16"/>
          <w:lang w:val="en-US"/>
        </w:rPr>
      </w:pPr>
      <w:r>
        <w:rPr>
          <w:rFonts w:ascii="Times New Roman" w:hAnsi="Times New Roman"/>
          <w:b/>
          <w:color w:val="auto"/>
          <w:sz w:val="24"/>
          <w:szCs w:val="16"/>
          <w:lang w:val="en-US"/>
        </w:rPr>
        <w:t xml:space="preserve">ACC204 Advanced Financial Accounting    Assignment   </w:t>
      </w:r>
    </w:p>
    <w:p w:rsidR="00C26F08" w:rsidRDefault="00C26F08" w:rsidP="00C26F08">
      <w:pPr>
        <w:pStyle w:val="bcesutxfirst"/>
        <w:suppressAutoHyphens w:val="0"/>
        <w:spacing w:before="0" w:after="240" w:line="240" w:lineRule="auto"/>
        <w:jc w:val="left"/>
        <w:rPr>
          <w:rFonts w:ascii="Times New Roman" w:hAnsi="Times New Roman"/>
          <w:b/>
          <w:color w:val="auto"/>
          <w:sz w:val="24"/>
          <w:szCs w:val="16"/>
          <w:lang w:val="en-US"/>
        </w:rPr>
      </w:pPr>
      <w:r>
        <w:rPr>
          <w:rFonts w:ascii="Times New Roman" w:hAnsi="Times New Roman"/>
          <w:b/>
          <w:color w:val="auto"/>
          <w:sz w:val="24"/>
          <w:szCs w:val="16"/>
          <w:lang w:val="en-US"/>
        </w:rPr>
        <w:t>Worth 40% of Unit Marks</w:t>
      </w:r>
    </w:p>
    <w:p w:rsidR="00E727F7" w:rsidRPr="00E727F7" w:rsidRDefault="00E727F7" w:rsidP="007E44C4">
      <w:pPr>
        <w:pStyle w:val="bcesutxfirst"/>
        <w:suppressAutoHyphens w:val="0"/>
        <w:spacing w:before="0" w:after="240" w:line="240" w:lineRule="auto"/>
        <w:jc w:val="left"/>
        <w:rPr>
          <w:rFonts w:ascii="Times New Roman" w:hAnsi="Times New Roman"/>
          <w:b/>
          <w:color w:val="auto"/>
          <w:sz w:val="24"/>
          <w:szCs w:val="16"/>
          <w:lang w:val="en-US"/>
        </w:rPr>
      </w:pPr>
      <w:r>
        <w:rPr>
          <w:rFonts w:ascii="Times New Roman" w:hAnsi="Times New Roman"/>
          <w:b/>
          <w:color w:val="auto"/>
          <w:sz w:val="24"/>
          <w:szCs w:val="16"/>
          <w:lang w:val="en-US"/>
        </w:rPr>
        <w:t xml:space="preserve">You are required to </w:t>
      </w:r>
      <w:r w:rsidR="00647F84">
        <w:rPr>
          <w:rFonts w:ascii="Times New Roman" w:hAnsi="Times New Roman"/>
          <w:b/>
          <w:color w:val="auto"/>
          <w:sz w:val="24"/>
          <w:szCs w:val="16"/>
          <w:lang w:val="en-US"/>
        </w:rPr>
        <w:t>complete</w:t>
      </w:r>
      <w:r>
        <w:rPr>
          <w:rFonts w:ascii="Times New Roman" w:hAnsi="Times New Roman"/>
          <w:b/>
          <w:color w:val="auto"/>
          <w:sz w:val="24"/>
          <w:szCs w:val="16"/>
          <w:lang w:val="en-US"/>
        </w:rPr>
        <w:t xml:space="preserve"> each of </w:t>
      </w:r>
      <w:r w:rsidR="00647F84">
        <w:rPr>
          <w:rFonts w:ascii="Times New Roman" w:hAnsi="Times New Roman"/>
          <w:b/>
          <w:color w:val="auto"/>
          <w:sz w:val="24"/>
          <w:szCs w:val="16"/>
          <w:lang w:val="en-US"/>
        </w:rPr>
        <w:t>three</w:t>
      </w:r>
      <w:r>
        <w:rPr>
          <w:rFonts w:ascii="Times New Roman" w:hAnsi="Times New Roman"/>
          <w:b/>
          <w:color w:val="auto"/>
          <w:sz w:val="24"/>
          <w:szCs w:val="16"/>
          <w:lang w:val="en-US"/>
        </w:rPr>
        <w:t xml:space="preserve"> questions</w:t>
      </w:r>
      <w:r w:rsidR="00647F84">
        <w:rPr>
          <w:rFonts w:ascii="Times New Roman" w:hAnsi="Times New Roman"/>
          <w:b/>
          <w:color w:val="auto"/>
          <w:sz w:val="24"/>
          <w:szCs w:val="16"/>
          <w:lang w:val="en-US"/>
        </w:rPr>
        <w:t xml:space="preserve"> below. </w:t>
      </w:r>
      <w:r w:rsidR="00647F84" w:rsidRPr="00647F84">
        <w:rPr>
          <w:rFonts w:ascii="Times New Roman" w:hAnsi="Times New Roman" w:cs="Times New Roman"/>
          <w:b/>
          <w:color w:val="auto"/>
          <w:sz w:val="24"/>
          <w:szCs w:val="16"/>
          <w:lang w:val="en-US"/>
        </w:rPr>
        <w:t>Provide detailed solutions and ensure that you include any relevant calculations</w:t>
      </w:r>
      <w:r w:rsidR="00647F84">
        <w:rPr>
          <w:rFonts w:ascii="Times New Roman" w:hAnsi="Times New Roman" w:cs="Times New Roman"/>
          <w:b/>
          <w:color w:val="auto"/>
          <w:sz w:val="24"/>
          <w:szCs w:val="16"/>
          <w:lang w:val="en-US"/>
        </w:rPr>
        <w:t xml:space="preserve">. You should </w:t>
      </w:r>
      <w:r>
        <w:rPr>
          <w:rFonts w:ascii="Times New Roman" w:hAnsi="Times New Roman"/>
          <w:b/>
          <w:color w:val="auto"/>
          <w:sz w:val="24"/>
          <w:szCs w:val="16"/>
          <w:lang w:val="en-US"/>
        </w:rPr>
        <w:t xml:space="preserve">submit </w:t>
      </w:r>
      <w:r w:rsidR="00647F84">
        <w:rPr>
          <w:rFonts w:ascii="Times New Roman" w:hAnsi="Times New Roman"/>
          <w:b/>
          <w:color w:val="auto"/>
          <w:sz w:val="24"/>
          <w:szCs w:val="16"/>
          <w:lang w:val="en-US"/>
        </w:rPr>
        <w:t>your assignment</w:t>
      </w:r>
      <w:r>
        <w:rPr>
          <w:rFonts w:ascii="Times New Roman" w:hAnsi="Times New Roman"/>
          <w:b/>
          <w:color w:val="auto"/>
          <w:sz w:val="24"/>
          <w:szCs w:val="16"/>
          <w:lang w:val="en-US"/>
        </w:rPr>
        <w:t xml:space="preserve"> to Moodle using a single </w:t>
      </w:r>
      <w:r w:rsidR="00647F84">
        <w:rPr>
          <w:rFonts w:ascii="Times New Roman" w:hAnsi="Times New Roman"/>
          <w:b/>
          <w:color w:val="auto"/>
          <w:sz w:val="24"/>
          <w:szCs w:val="16"/>
          <w:lang w:val="en-US"/>
        </w:rPr>
        <w:t>file;</w:t>
      </w:r>
      <w:r>
        <w:rPr>
          <w:rFonts w:ascii="Times New Roman" w:hAnsi="Times New Roman"/>
          <w:b/>
          <w:color w:val="auto"/>
          <w:sz w:val="24"/>
          <w:szCs w:val="16"/>
          <w:lang w:val="en-US"/>
        </w:rPr>
        <w:t xml:space="preserve"> it can be Excel format, Word format or PDF format</w:t>
      </w:r>
      <w:r w:rsidR="00647F84">
        <w:rPr>
          <w:rFonts w:ascii="Times New Roman" w:hAnsi="Times New Roman"/>
          <w:b/>
          <w:color w:val="auto"/>
          <w:sz w:val="24"/>
          <w:szCs w:val="16"/>
          <w:lang w:val="en-US"/>
        </w:rPr>
        <w:t xml:space="preserve">. There is no specified word limits. Any references included should use </w:t>
      </w:r>
      <w:r>
        <w:rPr>
          <w:rFonts w:ascii="Times New Roman" w:hAnsi="Times New Roman"/>
          <w:b/>
          <w:color w:val="auto"/>
          <w:sz w:val="24"/>
          <w:szCs w:val="16"/>
          <w:lang w:val="en-US"/>
        </w:rPr>
        <w:t>APA style.</w:t>
      </w:r>
      <w:r w:rsidR="00472BE3">
        <w:rPr>
          <w:rFonts w:ascii="Times New Roman" w:hAnsi="Times New Roman"/>
          <w:b/>
          <w:color w:val="auto"/>
          <w:sz w:val="24"/>
          <w:szCs w:val="16"/>
          <w:lang w:val="en-US"/>
        </w:rPr>
        <w:t xml:space="preserve"> Question 1 (20 marks), Question 2 (10 Marks), Question 3 (10 Marks).</w:t>
      </w:r>
    </w:p>
    <w:p w:rsidR="007E44C4" w:rsidRDefault="007E44C4" w:rsidP="007E44C4">
      <w:pPr>
        <w:pStyle w:val="bcesutxfirst"/>
        <w:suppressAutoHyphens w:val="0"/>
        <w:spacing w:before="0" w:after="240" w:line="240" w:lineRule="auto"/>
        <w:jc w:val="left"/>
        <w:rPr>
          <w:rFonts w:ascii="Times New Roman" w:hAnsi="Times New Roman"/>
          <w:color w:val="auto"/>
          <w:sz w:val="24"/>
          <w:szCs w:val="16"/>
          <w:lang w:val="en-US"/>
        </w:rPr>
      </w:pPr>
      <w:r>
        <w:rPr>
          <w:rFonts w:ascii="Times New Roman" w:hAnsi="Times New Roman"/>
          <w:color w:val="auto"/>
          <w:sz w:val="24"/>
          <w:szCs w:val="16"/>
          <w:lang w:val="en-US"/>
        </w:rPr>
        <w:t>1. Anderson Pty Ltd is an Australian diversified industrial company with its major business activity being to manufacture flotation devices for babies and toddlers. Over the past decade, the business has been very profitable and the directors, Simon Anderson and Lisa Anderson, have kept payment of dividends to a minimum to allow the company to diversify into other activities. The following is a list of property, plant and equipment held by the company:</w:t>
      </w:r>
    </w:p>
    <w:tbl>
      <w:tblPr>
        <w:tblW w:w="9314" w:type="dxa"/>
        <w:tblInd w:w="8" w:type="dxa"/>
        <w:tblLayout w:type="fixed"/>
        <w:tblLook w:val="0000" w:firstRow="0" w:lastRow="0" w:firstColumn="0" w:lastColumn="0" w:noHBand="0" w:noVBand="0"/>
      </w:tblPr>
      <w:tblGrid>
        <w:gridCol w:w="4579"/>
        <w:gridCol w:w="2422"/>
        <w:gridCol w:w="2313"/>
      </w:tblGrid>
      <w:tr w:rsidR="007E44C4" w:rsidTr="00B01406">
        <w:trPr>
          <w:trHeight w:val="23"/>
        </w:trPr>
        <w:tc>
          <w:tcPr>
            <w:tcW w:w="4579" w:type="dxa"/>
            <w:tcBorders>
              <w:top w:val="single" w:sz="4" w:space="0" w:color="auto"/>
              <w:bottom w:val="single" w:sz="4" w:space="0" w:color="auto"/>
            </w:tcBorders>
            <w:tcMar>
              <w:top w:w="0" w:type="dxa"/>
              <w:left w:w="108" w:type="dxa"/>
              <w:bottom w:w="0" w:type="dxa"/>
              <w:right w:w="108" w:type="dxa"/>
            </w:tcMar>
            <w:vAlign w:val="bottom"/>
          </w:tcPr>
          <w:p w:rsidR="007E44C4" w:rsidRDefault="007E44C4" w:rsidP="00B01406">
            <w:pPr>
              <w:pStyle w:val="bceextbcn"/>
              <w:suppressAutoHyphens w:val="0"/>
              <w:spacing w:before="0" w:after="0" w:line="240" w:lineRule="auto"/>
              <w:ind w:left="0"/>
              <w:jc w:val="left"/>
              <w:rPr>
                <w:color w:val="auto"/>
                <w:sz w:val="24"/>
                <w:lang w:val="en-US"/>
              </w:rPr>
            </w:pPr>
            <w:r>
              <w:rPr>
                <w:rFonts w:ascii="Times New Roman" w:hAnsi="Times New Roman"/>
                <w:color w:val="auto"/>
                <w:sz w:val="24"/>
                <w:lang w:val="en-US"/>
              </w:rPr>
              <w:t>Investments in companies</w:t>
            </w:r>
          </w:p>
        </w:tc>
        <w:tc>
          <w:tcPr>
            <w:tcW w:w="2422" w:type="dxa"/>
            <w:tcBorders>
              <w:top w:val="single" w:sz="4" w:space="0" w:color="auto"/>
              <w:bottom w:val="single" w:sz="4" w:space="0" w:color="auto"/>
            </w:tcBorders>
            <w:tcMar>
              <w:top w:w="0" w:type="dxa"/>
              <w:left w:w="108" w:type="dxa"/>
              <w:bottom w:w="0" w:type="dxa"/>
              <w:right w:w="108" w:type="dxa"/>
            </w:tcMar>
          </w:tcPr>
          <w:p w:rsidR="007E44C4" w:rsidRDefault="007E44C4" w:rsidP="00B01406">
            <w:pPr>
              <w:pStyle w:val="bceextbcn"/>
              <w:suppressAutoHyphens w:val="0"/>
              <w:spacing w:before="0" w:after="0" w:line="240" w:lineRule="auto"/>
              <w:ind w:left="0"/>
              <w:jc w:val="left"/>
              <w:rPr>
                <w:color w:val="auto"/>
                <w:sz w:val="24"/>
                <w:lang w:val="en-US"/>
              </w:rPr>
            </w:pPr>
            <w:r>
              <w:rPr>
                <w:rFonts w:ascii="Times New Roman" w:hAnsi="Times New Roman"/>
                <w:color w:val="auto"/>
                <w:sz w:val="24"/>
                <w:lang w:val="en-US"/>
              </w:rPr>
              <w:t>Carrying Value ($)</w:t>
            </w:r>
          </w:p>
        </w:tc>
        <w:tc>
          <w:tcPr>
            <w:tcW w:w="2313" w:type="dxa"/>
            <w:tcBorders>
              <w:top w:val="single" w:sz="4" w:space="0" w:color="auto"/>
              <w:bottom w:val="single" w:sz="4" w:space="0" w:color="auto"/>
            </w:tcBorders>
            <w:tcMar>
              <w:top w:w="0" w:type="dxa"/>
              <w:left w:w="108" w:type="dxa"/>
              <w:bottom w:w="0" w:type="dxa"/>
              <w:right w:w="108" w:type="dxa"/>
            </w:tcMar>
          </w:tcPr>
          <w:p w:rsidR="007E44C4" w:rsidRDefault="007E44C4" w:rsidP="00B01406">
            <w:pPr>
              <w:pStyle w:val="bceextbcn"/>
              <w:suppressAutoHyphens w:val="0"/>
              <w:spacing w:before="0" w:after="0" w:line="240" w:lineRule="auto"/>
              <w:ind w:left="0"/>
              <w:jc w:val="left"/>
              <w:rPr>
                <w:rFonts w:ascii="Times New Roman" w:hAnsi="Times New Roman"/>
                <w:color w:val="auto"/>
                <w:sz w:val="24"/>
                <w:lang w:val="en-US"/>
              </w:rPr>
            </w:pPr>
            <w:r>
              <w:rPr>
                <w:rFonts w:ascii="Times New Roman" w:hAnsi="Times New Roman"/>
                <w:color w:val="auto"/>
                <w:sz w:val="24"/>
                <w:lang w:val="en-US"/>
              </w:rPr>
              <w:t>Current fair value ($)</w:t>
            </w:r>
          </w:p>
        </w:tc>
      </w:tr>
      <w:tr w:rsidR="007E44C4" w:rsidTr="00B01406">
        <w:trPr>
          <w:trHeight w:val="23"/>
        </w:trPr>
        <w:tc>
          <w:tcPr>
            <w:tcW w:w="4579" w:type="dxa"/>
            <w:tcBorders>
              <w:top w:val="single" w:sz="4" w:space="0" w:color="auto"/>
            </w:tcBorders>
            <w:tcMar>
              <w:top w:w="0" w:type="dxa"/>
              <w:left w:w="108" w:type="dxa"/>
              <w:bottom w:w="0" w:type="dxa"/>
              <w:right w:w="108" w:type="dxa"/>
            </w:tcMar>
          </w:tcPr>
          <w:p w:rsidR="007E44C4" w:rsidRDefault="007E44C4" w:rsidP="00B01406">
            <w:pPr>
              <w:pStyle w:val="bceextbtx"/>
              <w:suppressAutoHyphens w:val="0"/>
              <w:spacing w:line="240" w:lineRule="auto"/>
              <w:rPr>
                <w:rFonts w:ascii="Times New Roman" w:hAnsi="Times New Roman"/>
                <w:color w:val="auto"/>
                <w:sz w:val="24"/>
                <w:lang w:val="en-US"/>
              </w:rPr>
            </w:pPr>
            <w:r>
              <w:rPr>
                <w:rStyle w:val="46lightital"/>
                <w:rFonts w:ascii="Times New Roman" w:hAnsi="Times New Roman"/>
                <w:color w:val="auto"/>
                <w:sz w:val="24"/>
                <w:lang w:val="en-US"/>
              </w:rPr>
              <w:t> </w:t>
            </w:r>
            <w:r>
              <w:rPr>
                <w:rStyle w:val="46lightital"/>
                <w:rFonts w:ascii="Times New Roman" w:hAnsi="Times New Roman"/>
                <w:color w:val="auto"/>
                <w:sz w:val="24"/>
                <w:lang w:val="en-US"/>
              </w:rPr>
              <w:t xml:space="preserve">Property, plant and equipment </w:t>
            </w:r>
          </w:p>
        </w:tc>
        <w:tc>
          <w:tcPr>
            <w:tcW w:w="2422" w:type="dxa"/>
            <w:tcBorders>
              <w:top w:val="single" w:sz="4" w:space="0" w:color="auto"/>
            </w:tcBorders>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shd w:val="clear" w:color="auto" w:fill="00FFFF"/>
                <w:lang w:val="en-US"/>
              </w:rPr>
            </w:pPr>
          </w:p>
        </w:tc>
        <w:tc>
          <w:tcPr>
            <w:tcW w:w="2313" w:type="dxa"/>
            <w:tcBorders>
              <w:top w:val="single" w:sz="4" w:space="0" w:color="auto"/>
            </w:tcBorders>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shd w:val="clear" w:color="auto" w:fill="00FFFF"/>
                <w:lang w:val="en-US"/>
              </w:rPr>
            </w:pP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rFonts w:ascii="Times New Roman" w:hAnsi="Times New Roman"/>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Factory (NSW) </w:t>
            </w:r>
          </w:p>
        </w:tc>
        <w:tc>
          <w:tcPr>
            <w:tcW w:w="2422"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shd w:val="clear" w:color="auto" w:fill="00FFFF"/>
                <w:lang w:val="en-US"/>
              </w:rPr>
            </w:pPr>
          </w:p>
        </w:tc>
        <w:tc>
          <w:tcPr>
            <w:tcW w:w="2313"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shd w:val="clear" w:color="auto" w:fill="00FFFF"/>
                <w:lang w:val="en-US"/>
              </w:rPr>
            </w:pP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Land </w:t>
            </w:r>
          </w:p>
        </w:tc>
        <w:tc>
          <w:tcPr>
            <w:tcW w:w="2422"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color w:val="auto"/>
                <w:sz w:val="24"/>
                <w:lang w:val="en-US"/>
              </w:rPr>
            </w:pPr>
            <w:r>
              <w:rPr>
                <w:rFonts w:ascii="Times New Roman" w:hAnsi="Times New Roman"/>
                <w:color w:val="auto"/>
                <w:sz w:val="24"/>
                <w:lang w:val="en-US"/>
              </w:rPr>
              <w:t>100 000</w:t>
            </w:r>
          </w:p>
        </w:tc>
        <w:tc>
          <w:tcPr>
            <w:tcW w:w="2313"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rFonts w:ascii="Times New Roman" w:hAnsi="Times New Roman"/>
                <w:color w:val="auto"/>
                <w:sz w:val="24"/>
                <w:lang w:val="en-US"/>
              </w:rPr>
            </w:pPr>
            <w:r>
              <w:rPr>
                <w:rFonts w:ascii="Times New Roman" w:hAnsi="Times New Roman"/>
                <w:color w:val="auto"/>
                <w:sz w:val="24"/>
                <w:lang w:val="en-US"/>
              </w:rPr>
              <w:t xml:space="preserve">150 000 </w:t>
            </w: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rFonts w:ascii="Times New Roman" w:hAnsi="Times New Roman"/>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Buildings </w:t>
            </w:r>
          </w:p>
        </w:tc>
        <w:tc>
          <w:tcPr>
            <w:tcW w:w="2422"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lang w:val="en-US"/>
              </w:rPr>
            </w:pPr>
          </w:p>
        </w:tc>
        <w:tc>
          <w:tcPr>
            <w:tcW w:w="2313"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lang w:val="en-US"/>
              </w:rPr>
            </w:pP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 Cost </w:t>
            </w:r>
          </w:p>
        </w:tc>
        <w:tc>
          <w:tcPr>
            <w:tcW w:w="2422"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color w:val="auto"/>
                <w:sz w:val="24"/>
                <w:lang w:val="en-US"/>
              </w:rPr>
            </w:pPr>
            <w:r>
              <w:rPr>
                <w:rFonts w:ascii="Times New Roman" w:hAnsi="Times New Roman"/>
                <w:color w:val="auto"/>
                <w:sz w:val="24"/>
                <w:lang w:val="en-US"/>
              </w:rPr>
              <w:t xml:space="preserve">70 000 </w:t>
            </w:r>
          </w:p>
        </w:tc>
        <w:tc>
          <w:tcPr>
            <w:tcW w:w="2313"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rFonts w:ascii="Times New Roman" w:hAnsi="Times New Roman"/>
                <w:color w:val="auto"/>
                <w:sz w:val="24"/>
                <w:lang w:val="en-US"/>
              </w:rPr>
            </w:pPr>
            <w:r>
              <w:rPr>
                <w:rFonts w:ascii="Times New Roman" w:hAnsi="Times New Roman"/>
                <w:color w:val="auto"/>
                <w:sz w:val="24"/>
                <w:lang w:val="en-US"/>
              </w:rPr>
              <w:t xml:space="preserve">80 000 </w:t>
            </w: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 Accumulated depreciation </w:t>
            </w:r>
          </w:p>
        </w:tc>
        <w:tc>
          <w:tcPr>
            <w:tcW w:w="2422"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color w:val="auto"/>
                <w:sz w:val="24"/>
                <w:lang w:val="en-US"/>
              </w:rPr>
            </w:pPr>
            <w:r>
              <w:rPr>
                <w:rFonts w:ascii="Times New Roman" w:hAnsi="Times New Roman"/>
                <w:color w:val="auto"/>
                <w:sz w:val="24"/>
                <w:lang w:val="en-US"/>
              </w:rPr>
              <w:t>(20 000)</w:t>
            </w:r>
          </w:p>
        </w:tc>
        <w:tc>
          <w:tcPr>
            <w:tcW w:w="2313"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rFonts w:ascii="Times New Roman" w:hAnsi="Times New Roman"/>
                <w:color w:val="auto"/>
                <w:sz w:val="24"/>
                <w:lang w:val="en-US"/>
              </w:rPr>
            </w:pPr>
            <w:r>
              <w:rPr>
                <w:rFonts w:ascii="Times New Roman" w:hAnsi="Times New Roman"/>
                <w:color w:val="auto"/>
                <w:sz w:val="24"/>
                <w:lang w:val="en-US"/>
              </w:rPr>
              <w:t>–</w:t>
            </w: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rFonts w:ascii="Times New Roman" w:hAnsi="Times New Roman"/>
                <w:color w:val="auto"/>
                <w:sz w:val="24"/>
                <w:lang w:val="en-US"/>
              </w:rPr>
            </w:pPr>
            <w:r>
              <w:rPr>
                <w:rFonts w:ascii="Times New Roman" w:hAnsi="Times New Roman"/>
                <w:color w:val="auto"/>
                <w:sz w:val="24"/>
                <w:lang w:val="en-US"/>
              </w:rPr>
              <w:t>Factory (</w:t>
            </w:r>
            <w:proofErr w:type="spellStart"/>
            <w:r>
              <w:rPr>
                <w:rFonts w:ascii="Times New Roman" w:hAnsi="Times New Roman"/>
                <w:color w:val="auto"/>
                <w:sz w:val="24"/>
                <w:lang w:val="en-US"/>
              </w:rPr>
              <w:t>Qld</w:t>
            </w:r>
            <w:proofErr w:type="spellEnd"/>
            <w:r>
              <w:rPr>
                <w:rFonts w:ascii="Times New Roman" w:hAnsi="Times New Roman"/>
                <w:color w:val="auto"/>
                <w:sz w:val="24"/>
                <w:lang w:val="en-US"/>
              </w:rPr>
              <w:t xml:space="preserve">) </w:t>
            </w:r>
          </w:p>
        </w:tc>
        <w:tc>
          <w:tcPr>
            <w:tcW w:w="2422"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lang w:val="en-US"/>
              </w:rPr>
            </w:pPr>
          </w:p>
        </w:tc>
        <w:tc>
          <w:tcPr>
            <w:tcW w:w="2313"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lang w:val="en-US"/>
              </w:rPr>
            </w:pP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Land </w:t>
            </w:r>
          </w:p>
        </w:tc>
        <w:tc>
          <w:tcPr>
            <w:tcW w:w="2422"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color w:val="auto"/>
                <w:sz w:val="24"/>
                <w:lang w:val="en-US"/>
              </w:rPr>
            </w:pPr>
            <w:r>
              <w:rPr>
                <w:rFonts w:ascii="Times New Roman" w:hAnsi="Times New Roman"/>
                <w:color w:val="auto"/>
                <w:sz w:val="24"/>
                <w:lang w:val="en-US"/>
              </w:rPr>
              <w:t xml:space="preserve">150 000 </w:t>
            </w:r>
          </w:p>
        </w:tc>
        <w:tc>
          <w:tcPr>
            <w:tcW w:w="2313"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rFonts w:ascii="Times New Roman" w:hAnsi="Times New Roman"/>
                <w:color w:val="auto"/>
                <w:sz w:val="24"/>
                <w:lang w:val="en-US"/>
              </w:rPr>
            </w:pPr>
            <w:r>
              <w:rPr>
                <w:rFonts w:ascii="Times New Roman" w:hAnsi="Times New Roman"/>
                <w:color w:val="auto"/>
                <w:sz w:val="24"/>
                <w:lang w:val="en-US"/>
              </w:rPr>
              <w:t xml:space="preserve">120 000 </w:t>
            </w: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rFonts w:ascii="Times New Roman" w:hAnsi="Times New Roman"/>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Buildings </w:t>
            </w:r>
          </w:p>
        </w:tc>
        <w:tc>
          <w:tcPr>
            <w:tcW w:w="2422"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lang w:val="en-US"/>
              </w:rPr>
            </w:pPr>
          </w:p>
        </w:tc>
        <w:tc>
          <w:tcPr>
            <w:tcW w:w="2313" w:type="dxa"/>
            <w:tcMar>
              <w:top w:w="0" w:type="dxa"/>
              <w:left w:w="108" w:type="dxa"/>
              <w:bottom w:w="0" w:type="dxa"/>
              <w:right w:w="108" w:type="dxa"/>
            </w:tcMar>
          </w:tcPr>
          <w:p w:rsidR="007E44C4" w:rsidRDefault="007E44C4" w:rsidP="00B01406">
            <w:pPr>
              <w:pStyle w:val="NoParagraphStyle"/>
              <w:spacing w:line="240" w:lineRule="auto"/>
              <w:ind w:right="567"/>
              <w:jc w:val="right"/>
              <w:textAlignment w:val="auto"/>
              <w:rPr>
                <w:rFonts w:ascii="Times New Roman" w:hAnsi="Times New Roman"/>
                <w:color w:val="auto"/>
                <w:lang w:val="en-US"/>
              </w:rPr>
            </w:pPr>
          </w:p>
        </w:tc>
      </w:tr>
      <w:tr w:rsidR="007E44C4" w:rsidTr="00B01406">
        <w:trPr>
          <w:trHeight w:val="23"/>
        </w:trPr>
        <w:tc>
          <w:tcPr>
            <w:tcW w:w="4579" w:type="dxa"/>
            <w:tcMar>
              <w:top w:w="0" w:type="dxa"/>
              <w:left w:w="108" w:type="dxa"/>
              <w:bottom w:w="0" w:type="dxa"/>
              <w:right w:w="108" w:type="dxa"/>
            </w:tcMar>
          </w:tcPr>
          <w:p w:rsidR="007E44C4" w:rsidRDefault="007E44C4" w:rsidP="00B01406">
            <w:pPr>
              <w:pStyle w:val="bceextbtx"/>
              <w:suppressAutoHyphens w:val="0"/>
              <w:spacing w:line="240" w:lineRule="auto"/>
              <w:rPr>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 Cost </w:t>
            </w:r>
          </w:p>
        </w:tc>
        <w:tc>
          <w:tcPr>
            <w:tcW w:w="2422"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color w:val="auto"/>
                <w:sz w:val="24"/>
                <w:lang w:val="en-US"/>
              </w:rPr>
            </w:pPr>
            <w:r>
              <w:rPr>
                <w:rFonts w:ascii="Times New Roman" w:hAnsi="Times New Roman"/>
                <w:color w:val="auto"/>
                <w:sz w:val="24"/>
                <w:lang w:val="en-US"/>
              </w:rPr>
              <w:t xml:space="preserve">125 000 </w:t>
            </w:r>
          </w:p>
        </w:tc>
        <w:tc>
          <w:tcPr>
            <w:tcW w:w="2313" w:type="dxa"/>
            <w:tcMar>
              <w:top w:w="0" w:type="dxa"/>
              <w:left w:w="108" w:type="dxa"/>
              <w:bottom w:w="0" w:type="dxa"/>
              <w:right w:w="108" w:type="dxa"/>
            </w:tcMar>
          </w:tcPr>
          <w:p w:rsidR="007E44C4" w:rsidRDefault="007E44C4" w:rsidP="00B01406">
            <w:pPr>
              <w:pStyle w:val="bceextbtx"/>
              <w:suppressAutoHyphens w:val="0"/>
              <w:spacing w:line="240" w:lineRule="auto"/>
              <w:ind w:right="567"/>
              <w:jc w:val="right"/>
              <w:rPr>
                <w:rFonts w:ascii="Times New Roman" w:hAnsi="Times New Roman"/>
                <w:color w:val="auto"/>
                <w:sz w:val="24"/>
                <w:lang w:val="en-US"/>
              </w:rPr>
            </w:pPr>
            <w:r>
              <w:rPr>
                <w:rFonts w:ascii="Times New Roman" w:hAnsi="Times New Roman"/>
                <w:color w:val="auto"/>
                <w:sz w:val="24"/>
                <w:lang w:val="en-US"/>
              </w:rPr>
              <w:t>70 000</w:t>
            </w:r>
          </w:p>
        </w:tc>
      </w:tr>
      <w:tr w:rsidR="007E44C4" w:rsidTr="00B01406">
        <w:trPr>
          <w:trHeight w:val="23"/>
        </w:trPr>
        <w:tc>
          <w:tcPr>
            <w:tcW w:w="4579" w:type="dxa"/>
            <w:tcBorders>
              <w:bottom w:val="single" w:sz="4" w:space="0" w:color="auto"/>
            </w:tcBorders>
            <w:tcMar>
              <w:top w:w="0" w:type="dxa"/>
              <w:left w:w="108" w:type="dxa"/>
              <w:bottom w:w="0" w:type="dxa"/>
              <w:right w:w="108" w:type="dxa"/>
            </w:tcMar>
          </w:tcPr>
          <w:p w:rsidR="007E44C4" w:rsidRDefault="007E44C4" w:rsidP="00B01406">
            <w:pPr>
              <w:pStyle w:val="EOCtablebottomrule"/>
              <w:pBdr>
                <w:bottom w:val="none" w:sz="0" w:space="0" w:color="auto"/>
              </w:pBdr>
              <w:suppressAutoHyphens w:val="0"/>
              <w:spacing w:line="240" w:lineRule="auto"/>
              <w:ind w:left="0"/>
              <w:jc w:val="left"/>
              <w:rPr>
                <w:color w:val="auto"/>
                <w:sz w:val="24"/>
                <w:lang w:val="en-US"/>
              </w:rPr>
            </w:pPr>
            <w:r>
              <w:rPr>
                <w:rFonts w:ascii="Times New Roman" w:hAnsi="Times New Roman"/>
                <w:color w:val="auto"/>
                <w:sz w:val="24"/>
                <w:lang w:val="en-US"/>
              </w:rPr>
              <w:t> </w:t>
            </w:r>
            <w:r>
              <w:rPr>
                <w:rFonts w:ascii="Times New Roman" w:hAnsi="Times New Roman"/>
                <w:color w:val="auto"/>
                <w:sz w:val="24"/>
                <w:lang w:val="en-US"/>
              </w:rPr>
              <w:t xml:space="preserve">– Accumulated depreciation </w:t>
            </w:r>
          </w:p>
        </w:tc>
        <w:tc>
          <w:tcPr>
            <w:tcW w:w="2422" w:type="dxa"/>
            <w:tcBorders>
              <w:bottom w:val="single" w:sz="4" w:space="0" w:color="auto"/>
            </w:tcBorders>
            <w:tcMar>
              <w:top w:w="0" w:type="dxa"/>
              <w:left w:w="108" w:type="dxa"/>
              <w:bottom w:w="0" w:type="dxa"/>
              <w:right w:w="108" w:type="dxa"/>
            </w:tcMar>
          </w:tcPr>
          <w:p w:rsidR="007E44C4" w:rsidRDefault="007E44C4" w:rsidP="00B01406">
            <w:pPr>
              <w:pStyle w:val="EOCtablebottomrule"/>
              <w:pBdr>
                <w:bottom w:val="none" w:sz="0" w:space="0" w:color="auto"/>
              </w:pBdr>
              <w:suppressAutoHyphens w:val="0"/>
              <w:spacing w:line="240" w:lineRule="auto"/>
              <w:ind w:left="0" w:right="567"/>
              <w:jc w:val="right"/>
              <w:rPr>
                <w:color w:val="auto"/>
                <w:sz w:val="24"/>
                <w:lang w:val="en-US"/>
              </w:rPr>
            </w:pPr>
            <w:r>
              <w:rPr>
                <w:rFonts w:ascii="Times New Roman" w:hAnsi="Times New Roman"/>
                <w:color w:val="auto"/>
                <w:sz w:val="24"/>
                <w:lang w:val="en-US"/>
              </w:rPr>
              <w:t xml:space="preserve">(45 000) </w:t>
            </w:r>
          </w:p>
        </w:tc>
        <w:tc>
          <w:tcPr>
            <w:tcW w:w="2313" w:type="dxa"/>
            <w:tcBorders>
              <w:bottom w:val="single" w:sz="4" w:space="0" w:color="auto"/>
            </w:tcBorders>
            <w:tcMar>
              <w:top w:w="0" w:type="dxa"/>
              <w:left w:w="108" w:type="dxa"/>
              <w:bottom w:w="0" w:type="dxa"/>
              <w:right w:w="108" w:type="dxa"/>
            </w:tcMar>
          </w:tcPr>
          <w:p w:rsidR="007E44C4" w:rsidRDefault="007E44C4" w:rsidP="00B01406">
            <w:pPr>
              <w:pStyle w:val="EOCtablebottomrule"/>
              <w:pBdr>
                <w:bottom w:val="none" w:sz="0" w:space="0" w:color="auto"/>
              </w:pBdr>
              <w:suppressAutoHyphens w:val="0"/>
              <w:spacing w:line="240" w:lineRule="auto"/>
              <w:ind w:left="0" w:right="567"/>
              <w:jc w:val="right"/>
              <w:rPr>
                <w:rFonts w:ascii="Times New Roman" w:hAnsi="Times New Roman"/>
                <w:color w:val="auto"/>
                <w:sz w:val="24"/>
                <w:lang w:val="en-US"/>
              </w:rPr>
            </w:pPr>
            <w:r>
              <w:rPr>
                <w:rFonts w:ascii="Times New Roman" w:hAnsi="Times New Roman"/>
                <w:color w:val="auto"/>
                <w:sz w:val="24"/>
                <w:lang w:val="en-US"/>
              </w:rPr>
              <w:t>–</w:t>
            </w:r>
          </w:p>
        </w:tc>
      </w:tr>
    </w:tbl>
    <w:p w:rsidR="007E44C4" w:rsidRDefault="007E44C4" w:rsidP="007E44C4">
      <w:pPr>
        <w:pStyle w:val="bcesutxfirst"/>
        <w:suppressAutoHyphens w:val="0"/>
        <w:spacing w:before="240" w:line="240" w:lineRule="auto"/>
        <w:jc w:val="left"/>
        <w:rPr>
          <w:rFonts w:ascii="Times New Roman" w:hAnsi="Times New Roman"/>
          <w:color w:val="auto"/>
          <w:sz w:val="24"/>
          <w:szCs w:val="16"/>
          <w:lang w:val="en-US"/>
        </w:rPr>
      </w:pPr>
      <w:r>
        <w:rPr>
          <w:rFonts w:ascii="Times New Roman" w:hAnsi="Times New Roman"/>
          <w:color w:val="auto"/>
          <w:sz w:val="24"/>
          <w:szCs w:val="16"/>
          <w:lang w:val="en-US"/>
        </w:rPr>
        <w:t>Mr Anderson informs you that the directors intend to revalue the property, plant and equipment during the year. The company has not revalued any assets in the past.</w:t>
      </w:r>
    </w:p>
    <w:p w:rsidR="007E44C4" w:rsidRDefault="007E44C4" w:rsidP="007E44C4">
      <w:pPr>
        <w:pStyle w:val="bceexha"/>
        <w:suppressAutoHyphens w:val="0"/>
        <w:spacing w:before="0" w:line="240" w:lineRule="auto"/>
        <w:rPr>
          <w:rStyle w:val="75bold"/>
          <w:rFonts w:ascii="Times New Roman" w:hAnsi="Times New Roman"/>
          <w:b/>
          <w:bCs/>
          <w:color w:val="auto"/>
          <w:spacing w:val="0"/>
          <w:sz w:val="24"/>
          <w:lang w:val="en-US"/>
        </w:rPr>
      </w:pPr>
      <w:r>
        <w:rPr>
          <w:rFonts w:ascii="Times New Roman" w:hAnsi="Times New Roman"/>
          <w:color w:val="auto"/>
          <w:spacing w:val="0"/>
          <w:sz w:val="24"/>
          <w:lang w:val="en-US"/>
        </w:rPr>
        <w:t>Required</w:t>
      </w:r>
    </w:p>
    <w:p w:rsidR="007E44C4" w:rsidRDefault="007E44C4" w:rsidP="007E44C4">
      <w:pPr>
        <w:pStyle w:val="bceexlafirst"/>
        <w:tabs>
          <w:tab w:val="clear" w:pos="2"/>
          <w:tab w:val="clear" w:pos="283"/>
          <w:tab w:val="clear" w:pos="4960"/>
          <w:tab w:val="clear" w:pos="9524"/>
          <w:tab w:val="clear" w:pos="9638"/>
        </w:tabs>
        <w:suppressAutoHyphens w:val="0"/>
        <w:spacing w:line="240" w:lineRule="auto"/>
        <w:ind w:left="357" w:hanging="357"/>
        <w:rPr>
          <w:rFonts w:ascii="Times New Roman" w:hAnsi="Times New Roman"/>
          <w:color w:val="auto"/>
          <w:sz w:val="24"/>
          <w:lang w:val="en-US"/>
        </w:rPr>
      </w:pPr>
      <w:r>
        <w:rPr>
          <w:rFonts w:ascii="Times New Roman" w:hAnsi="Times New Roman"/>
          <w:b/>
          <w:bCs/>
          <w:color w:val="auto"/>
          <w:sz w:val="24"/>
          <w:lang w:val="en-US"/>
        </w:rPr>
        <w:t>(a)</w:t>
      </w:r>
      <w:r>
        <w:rPr>
          <w:rFonts w:ascii="Times New Roman" w:hAnsi="Times New Roman"/>
          <w:color w:val="auto"/>
          <w:sz w:val="24"/>
          <w:lang w:val="en-US"/>
        </w:rPr>
        <w:tab/>
        <w:t xml:space="preserve">How would </w:t>
      </w:r>
      <w:proofErr w:type="spellStart"/>
      <w:r>
        <w:rPr>
          <w:rFonts w:ascii="Times New Roman" w:hAnsi="Times New Roman"/>
          <w:color w:val="auto"/>
          <w:sz w:val="24"/>
          <w:lang w:val="en-US"/>
        </w:rPr>
        <w:t>you</w:t>
      </w:r>
      <w:proofErr w:type="spellEnd"/>
      <w:r>
        <w:rPr>
          <w:rFonts w:ascii="Times New Roman" w:hAnsi="Times New Roman"/>
          <w:color w:val="auto"/>
          <w:sz w:val="24"/>
          <w:lang w:val="en-US"/>
        </w:rPr>
        <w:t xml:space="preserve"> account for the revaluation of the above assets?</w:t>
      </w:r>
    </w:p>
    <w:p w:rsidR="00E727F7" w:rsidRDefault="007E44C4" w:rsidP="00E727F7">
      <w:pPr>
        <w:pStyle w:val="bceexlafirst"/>
        <w:tabs>
          <w:tab w:val="clear" w:pos="2"/>
          <w:tab w:val="clear" w:pos="283"/>
          <w:tab w:val="clear" w:pos="4960"/>
          <w:tab w:val="clear" w:pos="9524"/>
          <w:tab w:val="clear" w:pos="9638"/>
        </w:tabs>
        <w:suppressAutoHyphens w:val="0"/>
        <w:spacing w:line="240" w:lineRule="auto"/>
        <w:ind w:left="357" w:hanging="357"/>
        <w:rPr>
          <w:rFonts w:ascii="Times New Roman" w:hAnsi="Times New Roman"/>
          <w:b/>
          <w:bCs/>
          <w:color w:val="auto"/>
          <w:sz w:val="24"/>
          <w:szCs w:val="18"/>
          <w:lang w:val="en-US"/>
        </w:rPr>
      </w:pPr>
      <w:r>
        <w:rPr>
          <w:rFonts w:ascii="Times New Roman" w:hAnsi="Times New Roman"/>
          <w:b/>
          <w:bCs/>
          <w:color w:val="auto"/>
          <w:sz w:val="24"/>
          <w:lang w:val="en-US"/>
        </w:rPr>
        <w:t>(b)</w:t>
      </w:r>
      <w:r>
        <w:rPr>
          <w:rFonts w:ascii="Times New Roman" w:hAnsi="Times New Roman"/>
          <w:color w:val="auto"/>
          <w:sz w:val="24"/>
          <w:lang w:val="en-US"/>
        </w:rPr>
        <w:tab/>
        <w:t>What would the relevant journal entries be?  </w:t>
      </w:r>
    </w:p>
    <w:p w:rsidR="007E44C4" w:rsidRDefault="00E727F7" w:rsidP="00E727F7">
      <w:pPr>
        <w:pStyle w:val="bceexlafirst"/>
        <w:tabs>
          <w:tab w:val="clear" w:pos="2"/>
          <w:tab w:val="clear" w:pos="283"/>
          <w:tab w:val="clear" w:pos="4960"/>
          <w:tab w:val="clear" w:pos="9524"/>
          <w:tab w:val="clear" w:pos="9638"/>
        </w:tabs>
        <w:suppressAutoHyphens w:val="0"/>
        <w:spacing w:line="240" w:lineRule="auto"/>
        <w:ind w:left="357" w:hanging="357"/>
        <w:rPr>
          <w:rFonts w:ascii="Times New Roman" w:hAnsi="Times New Roman"/>
          <w:b/>
          <w:bCs/>
          <w:color w:val="auto"/>
          <w:sz w:val="32"/>
          <w:lang w:val="en-US"/>
        </w:rPr>
      </w:pPr>
      <w:r>
        <w:rPr>
          <w:rFonts w:ascii="Times New Roman" w:hAnsi="Times New Roman"/>
          <w:b/>
          <w:bCs/>
          <w:color w:val="auto"/>
          <w:sz w:val="32"/>
          <w:lang w:val="en-US"/>
        </w:rPr>
        <w:t xml:space="preserve"> </w:t>
      </w:r>
    </w:p>
    <w:p w:rsidR="00855B1F" w:rsidRDefault="00855B1F" w:rsidP="00855B1F">
      <w:pPr>
        <w:pStyle w:val="bcesutxfirst"/>
        <w:suppressAutoHyphens w:val="0"/>
        <w:spacing w:before="0" w:line="240" w:lineRule="auto"/>
        <w:jc w:val="left"/>
        <w:rPr>
          <w:rFonts w:ascii="Times New Roman" w:hAnsi="Times New Roman"/>
          <w:color w:val="auto"/>
          <w:sz w:val="24"/>
          <w:szCs w:val="24"/>
          <w:lang w:val="en-US"/>
        </w:rPr>
      </w:pPr>
      <w:r>
        <w:rPr>
          <w:rFonts w:ascii="Times New Roman" w:hAnsi="Times New Roman"/>
          <w:color w:val="auto"/>
          <w:sz w:val="24"/>
          <w:szCs w:val="24"/>
          <w:lang w:val="en-US"/>
        </w:rPr>
        <w:t>2. On 1 July 2015 Kruger Ltd privately issues $1 million in six-year debentures, which pay interest each six months at a coupon rate of 6 per cent per annum. At the time of issuing the securities, the market requires a rate of return of 4 per cent. Consistent with the requirements of AASB</w:t>
      </w:r>
      <w:r>
        <w:rPr>
          <w:rFonts w:ascii="Times New Roman" w:eastAsia="MS Mincho" w:hAnsi="Times New Roman"/>
          <w:color w:val="auto"/>
          <w:sz w:val="24"/>
          <w:szCs w:val="24"/>
          <w:lang w:val="en-US"/>
        </w:rPr>
        <w:t xml:space="preserve"> </w:t>
      </w:r>
      <w:r>
        <w:rPr>
          <w:rFonts w:ascii="Times New Roman" w:hAnsi="Times New Roman"/>
          <w:color w:val="auto"/>
          <w:sz w:val="24"/>
          <w:szCs w:val="24"/>
          <w:lang w:val="en-US"/>
        </w:rPr>
        <w:t>9, the debentures are accounted for using the effective interest method.</w:t>
      </w:r>
    </w:p>
    <w:p w:rsidR="00855B1F" w:rsidRDefault="00855B1F" w:rsidP="00855B1F">
      <w:pPr>
        <w:pStyle w:val="bceexha"/>
        <w:suppressAutoHyphens w:val="0"/>
        <w:spacing w:before="0" w:line="240" w:lineRule="auto"/>
        <w:rPr>
          <w:rFonts w:ascii="Times New Roman" w:hAnsi="Times New Roman"/>
          <w:color w:val="auto"/>
          <w:spacing w:val="0"/>
          <w:sz w:val="24"/>
          <w:szCs w:val="24"/>
          <w:lang w:val="en-US"/>
        </w:rPr>
      </w:pPr>
      <w:r>
        <w:rPr>
          <w:rFonts w:ascii="Times New Roman" w:hAnsi="Times New Roman"/>
          <w:color w:val="auto"/>
          <w:spacing w:val="0"/>
          <w:sz w:val="24"/>
          <w:szCs w:val="24"/>
          <w:lang w:val="en-US"/>
        </w:rPr>
        <w:t>Required</w:t>
      </w:r>
    </w:p>
    <w:p w:rsidR="00855B1F" w:rsidRDefault="00855B1F" w:rsidP="00855B1F">
      <w:pPr>
        <w:pStyle w:val="bceexlafirst"/>
        <w:tabs>
          <w:tab w:val="clear" w:pos="2"/>
          <w:tab w:val="clear" w:pos="283"/>
          <w:tab w:val="clear" w:pos="4960"/>
          <w:tab w:val="clear" w:pos="9524"/>
          <w:tab w:val="clear" w:pos="9638"/>
        </w:tabs>
        <w:suppressAutoHyphens w:val="0"/>
        <w:spacing w:line="240" w:lineRule="auto"/>
        <w:ind w:left="357" w:hanging="357"/>
        <w:rPr>
          <w:rFonts w:ascii="Times New Roman" w:hAnsi="Times New Roman"/>
          <w:color w:val="auto"/>
          <w:sz w:val="24"/>
          <w:szCs w:val="24"/>
          <w:lang w:val="en-US"/>
        </w:rPr>
      </w:pPr>
      <w:r>
        <w:rPr>
          <w:rFonts w:ascii="Times New Roman" w:hAnsi="Times New Roman"/>
          <w:b/>
          <w:bCs/>
          <w:color w:val="auto"/>
          <w:sz w:val="24"/>
          <w:szCs w:val="24"/>
          <w:lang w:val="en-US"/>
        </w:rPr>
        <w:t>(a)</w:t>
      </w:r>
      <w:r>
        <w:rPr>
          <w:rFonts w:ascii="Times New Roman" w:hAnsi="Times New Roman"/>
          <w:color w:val="auto"/>
          <w:sz w:val="24"/>
          <w:szCs w:val="24"/>
          <w:lang w:val="en-US"/>
        </w:rPr>
        <w:tab/>
        <w:t>Determine the fair value of the debentures at the time of issue (which will also be their issue price).</w:t>
      </w:r>
    </w:p>
    <w:p w:rsidR="00855B1F" w:rsidRDefault="00855B1F" w:rsidP="00855B1F">
      <w:pPr>
        <w:pStyle w:val="bceexlnlast"/>
        <w:tabs>
          <w:tab w:val="clear" w:pos="2"/>
          <w:tab w:val="clear" w:pos="60"/>
          <w:tab w:val="clear" w:pos="283"/>
          <w:tab w:val="clear" w:pos="9524"/>
          <w:tab w:val="clear" w:pos="9638"/>
        </w:tabs>
        <w:suppressAutoHyphens w:val="0"/>
        <w:spacing w:line="240" w:lineRule="auto"/>
        <w:ind w:left="357" w:hanging="357"/>
        <w:rPr>
          <w:rFonts w:ascii="Times New Roman" w:hAnsi="Times New Roman"/>
          <w:color w:val="auto"/>
          <w:sz w:val="24"/>
          <w:szCs w:val="24"/>
          <w:lang w:val="en-US"/>
        </w:rPr>
      </w:pPr>
      <w:r>
        <w:rPr>
          <w:rFonts w:ascii="Times New Roman" w:hAnsi="Times New Roman"/>
          <w:b/>
          <w:bCs/>
          <w:color w:val="auto"/>
          <w:sz w:val="24"/>
          <w:szCs w:val="24"/>
          <w:lang w:val="en-US"/>
        </w:rPr>
        <w:t>(b)</w:t>
      </w:r>
      <w:r>
        <w:rPr>
          <w:rFonts w:ascii="Times New Roman" w:hAnsi="Times New Roman"/>
          <w:color w:val="auto"/>
          <w:sz w:val="24"/>
          <w:szCs w:val="24"/>
          <w:lang w:val="en-US"/>
        </w:rPr>
        <w:tab/>
        <w:t>Provide the journal entries at:</w:t>
      </w:r>
    </w:p>
    <w:p w:rsidR="00855B1F" w:rsidRDefault="00855B1F" w:rsidP="00855B1F">
      <w:pPr>
        <w:pStyle w:val="bcepqlnla"/>
        <w:suppressAutoHyphens w:val="0"/>
        <w:spacing w:line="240" w:lineRule="auto"/>
        <w:ind w:left="709" w:hanging="709"/>
        <w:rPr>
          <w:rFonts w:ascii="Times New Roman" w:hAnsi="Times New Roman"/>
          <w:color w:val="auto"/>
          <w:sz w:val="24"/>
          <w:szCs w:val="24"/>
          <w:lang w:val="en-US"/>
        </w:rPr>
      </w:pPr>
      <w:r>
        <w:rPr>
          <w:rFonts w:ascii="Times New Roman" w:hAnsi="Times New Roman"/>
          <w:color w:val="auto"/>
          <w:sz w:val="24"/>
          <w:szCs w:val="24"/>
          <w:lang w:val="en-US"/>
        </w:rPr>
        <w:tab/>
      </w:r>
      <w:r>
        <w:rPr>
          <w:rFonts w:ascii="Times New Roman" w:hAnsi="Times New Roman"/>
          <w:b/>
          <w:bCs/>
          <w:color w:val="auto"/>
          <w:sz w:val="24"/>
          <w:szCs w:val="24"/>
          <w:lang w:val="en-US"/>
        </w:rPr>
        <w:t>(</w:t>
      </w:r>
      <w:proofErr w:type="spellStart"/>
      <w:r>
        <w:rPr>
          <w:rFonts w:ascii="Times New Roman" w:hAnsi="Times New Roman"/>
          <w:b/>
          <w:bCs/>
          <w:color w:val="auto"/>
          <w:sz w:val="24"/>
          <w:szCs w:val="24"/>
          <w:lang w:val="en-US"/>
        </w:rPr>
        <w:t>i</w:t>
      </w:r>
      <w:proofErr w:type="spellEnd"/>
      <w:r>
        <w:rPr>
          <w:rFonts w:ascii="Times New Roman" w:hAnsi="Times New Roman"/>
          <w:b/>
          <w:bCs/>
          <w:color w:val="auto"/>
          <w:sz w:val="24"/>
          <w:szCs w:val="24"/>
          <w:lang w:val="en-US"/>
        </w:rPr>
        <w:t>)</w:t>
      </w:r>
      <w:r>
        <w:rPr>
          <w:rFonts w:ascii="Times New Roman" w:hAnsi="Times New Roman"/>
          <w:color w:val="auto"/>
          <w:sz w:val="24"/>
          <w:szCs w:val="24"/>
          <w:lang w:val="en-US"/>
        </w:rPr>
        <w:tab/>
        <w:t>1 July 2015</w:t>
      </w:r>
    </w:p>
    <w:p w:rsidR="00855B1F" w:rsidRDefault="00855B1F" w:rsidP="00855B1F">
      <w:pPr>
        <w:pStyle w:val="bcepqlnla"/>
        <w:suppressAutoHyphens w:val="0"/>
        <w:spacing w:line="240" w:lineRule="auto"/>
        <w:ind w:left="709" w:hanging="709"/>
        <w:rPr>
          <w:rFonts w:ascii="Times New Roman" w:hAnsi="Times New Roman"/>
          <w:color w:val="auto"/>
          <w:sz w:val="24"/>
          <w:szCs w:val="24"/>
          <w:lang w:val="en-US"/>
        </w:rPr>
      </w:pPr>
      <w:r>
        <w:rPr>
          <w:rFonts w:ascii="Times New Roman" w:hAnsi="Times New Roman"/>
          <w:color w:val="auto"/>
          <w:sz w:val="24"/>
          <w:szCs w:val="24"/>
          <w:lang w:val="en-US"/>
        </w:rPr>
        <w:tab/>
      </w:r>
      <w:r>
        <w:rPr>
          <w:rFonts w:ascii="Times New Roman" w:hAnsi="Times New Roman"/>
          <w:b/>
          <w:bCs/>
          <w:color w:val="auto"/>
          <w:sz w:val="24"/>
          <w:szCs w:val="24"/>
          <w:lang w:val="en-US"/>
        </w:rPr>
        <w:t>(ii)</w:t>
      </w:r>
      <w:r>
        <w:rPr>
          <w:rFonts w:ascii="Times New Roman" w:hAnsi="Times New Roman"/>
          <w:color w:val="auto"/>
          <w:sz w:val="24"/>
          <w:szCs w:val="24"/>
          <w:lang w:val="en-US"/>
        </w:rPr>
        <w:tab/>
        <w:t>31 December 2015</w:t>
      </w:r>
    </w:p>
    <w:p w:rsidR="00855B1F" w:rsidRDefault="00855B1F" w:rsidP="00855B1F">
      <w:pPr>
        <w:pStyle w:val="bcepqlnla"/>
        <w:suppressAutoHyphens w:val="0"/>
        <w:spacing w:line="240" w:lineRule="auto"/>
        <w:ind w:left="709" w:hanging="709"/>
        <w:rPr>
          <w:rFonts w:ascii="Times New Roman" w:hAnsi="Times New Roman"/>
          <w:color w:val="auto"/>
          <w:sz w:val="24"/>
          <w:szCs w:val="24"/>
          <w:lang w:val="en-US"/>
        </w:rPr>
      </w:pPr>
      <w:r>
        <w:rPr>
          <w:rFonts w:ascii="Times New Roman" w:hAnsi="Times New Roman"/>
          <w:color w:val="auto"/>
          <w:sz w:val="24"/>
          <w:szCs w:val="24"/>
          <w:lang w:val="en-US"/>
        </w:rPr>
        <w:tab/>
      </w:r>
      <w:r>
        <w:rPr>
          <w:rFonts w:ascii="Times New Roman" w:hAnsi="Times New Roman"/>
          <w:b/>
          <w:bCs/>
          <w:color w:val="auto"/>
          <w:sz w:val="24"/>
          <w:szCs w:val="24"/>
          <w:lang w:val="en-US"/>
        </w:rPr>
        <w:t>(ii</w:t>
      </w:r>
      <w:r>
        <w:rPr>
          <w:rFonts w:ascii="Times New Roman" w:hAnsi="Times New Roman"/>
          <w:color w:val="auto"/>
          <w:sz w:val="24"/>
          <w:szCs w:val="24"/>
          <w:lang w:val="en-US"/>
        </w:rPr>
        <w:t>i</w:t>
      </w:r>
      <w:r>
        <w:rPr>
          <w:rFonts w:ascii="Times New Roman" w:hAnsi="Times New Roman"/>
          <w:b/>
          <w:bCs/>
          <w:color w:val="auto"/>
          <w:sz w:val="24"/>
          <w:szCs w:val="24"/>
          <w:lang w:val="en-US"/>
        </w:rPr>
        <w:t>)</w:t>
      </w:r>
      <w:r>
        <w:rPr>
          <w:rFonts w:ascii="Times New Roman" w:hAnsi="Times New Roman"/>
          <w:color w:val="auto"/>
          <w:sz w:val="24"/>
          <w:szCs w:val="24"/>
          <w:lang w:val="en-US"/>
        </w:rPr>
        <w:tab/>
        <w:t>30 June 2016.  </w:t>
      </w:r>
    </w:p>
    <w:p w:rsidR="00855B1F" w:rsidRDefault="00855B1F" w:rsidP="00855B1F">
      <w:pPr>
        <w:pStyle w:val="bceexhaa"/>
        <w:suppressAutoHyphens w:val="0"/>
        <w:spacing w:before="0" w:line="240" w:lineRule="auto"/>
        <w:rPr>
          <w:rFonts w:ascii="Times New Roman" w:hAnsi="Times New Roman"/>
          <w:color w:val="auto"/>
          <w:spacing w:val="0"/>
          <w:sz w:val="24"/>
          <w:szCs w:val="24"/>
          <w:lang w:val="en-US"/>
        </w:rPr>
      </w:pPr>
    </w:p>
    <w:p w:rsidR="00221B24" w:rsidRDefault="00E727F7" w:rsidP="00221B24">
      <w:pPr>
        <w:pStyle w:val="bceextxfirst"/>
        <w:suppressAutoHyphens w:val="0"/>
        <w:spacing w:line="240" w:lineRule="auto"/>
        <w:jc w:val="left"/>
        <w:rPr>
          <w:rFonts w:ascii="Times New Roman" w:hAnsi="Times New Roman"/>
          <w:color w:val="auto"/>
          <w:sz w:val="24"/>
          <w:lang w:val="en-US"/>
        </w:rPr>
      </w:pPr>
      <w:r>
        <w:rPr>
          <w:lang w:val="en-US"/>
        </w:rPr>
        <w:t xml:space="preserve">3. </w:t>
      </w:r>
      <w:r w:rsidR="00221B24">
        <w:rPr>
          <w:rFonts w:ascii="Times New Roman" w:hAnsi="Times New Roman"/>
          <w:color w:val="auto"/>
          <w:sz w:val="24"/>
          <w:lang w:val="en-US"/>
        </w:rPr>
        <w:t xml:space="preserve">Sun City Limited commences construction of a multi-purpose water park on 1 July 2014 for </w:t>
      </w:r>
      <w:r w:rsidR="00221B24">
        <w:rPr>
          <w:rFonts w:ascii="Times New Roman" w:hAnsi="Times New Roman"/>
          <w:color w:val="auto"/>
          <w:sz w:val="24"/>
          <w:lang w:val="en-US"/>
        </w:rPr>
        <w:lastRenderedPageBreak/>
        <w:t>Pretoria Limited. Sun City Limited signs a fixed-price contract for total revenues of $50 million. The project is expected to be completed by the end of 2017 and Pretoria Limited controls the asset throughout the period of construction. The expected cost as at the commencement of construction is $38 million. The estimated costs of a construction project might change throughout the project—in this example, they do change. The following data relates to the project (the financial years end on 30 June):</w:t>
      </w:r>
    </w:p>
    <w:tbl>
      <w:tblPr>
        <w:tblW w:w="0" w:type="auto"/>
        <w:tblInd w:w="567" w:type="dxa"/>
        <w:tblLayout w:type="fixed"/>
        <w:tblLook w:val="0000" w:firstRow="0" w:lastRow="0" w:firstColumn="0" w:lastColumn="0" w:noHBand="0" w:noVBand="0"/>
      </w:tblPr>
      <w:tblGrid>
        <w:gridCol w:w="3530"/>
        <w:gridCol w:w="1270"/>
        <w:gridCol w:w="1270"/>
        <w:gridCol w:w="1270"/>
      </w:tblGrid>
      <w:tr w:rsidR="00221B24" w:rsidTr="00B01406">
        <w:trPr>
          <w:trHeight w:val="23"/>
          <w:tblHeader/>
        </w:trPr>
        <w:tc>
          <w:tcPr>
            <w:tcW w:w="3530" w:type="dxa"/>
            <w:tcBorders>
              <w:top w:val="single" w:sz="4" w:space="0" w:color="auto"/>
              <w:bottom w:val="single" w:sz="4" w:space="0" w:color="auto"/>
            </w:tcBorders>
            <w:tcMar>
              <w:top w:w="0" w:type="dxa"/>
              <w:left w:w="108" w:type="dxa"/>
              <w:bottom w:w="0" w:type="dxa"/>
              <w:right w:w="108" w:type="dxa"/>
            </w:tcMar>
            <w:vAlign w:val="bottom"/>
          </w:tcPr>
          <w:p w:rsidR="00221B24" w:rsidRDefault="00221B24" w:rsidP="00B01406">
            <w:pPr>
              <w:pStyle w:val="NoParagraphStyle"/>
              <w:spacing w:line="240" w:lineRule="auto"/>
              <w:textAlignment w:val="auto"/>
              <w:rPr>
                <w:rFonts w:ascii="Times New Roman" w:hAnsi="Times New Roman"/>
                <w:color w:val="auto"/>
                <w:lang w:val="en-US"/>
              </w:rPr>
            </w:pPr>
          </w:p>
        </w:tc>
        <w:tc>
          <w:tcPr>
            <w:tcW w:w="1270" w:type="dxa"/>
            <w:tcBorders>
              <w:top w:val="single" w:sz="4" w:space="0" w:color="auto"/>
              <w:bottom w:val="single" w:sz="4" w:space="0" w:color="auto"/>
            </w:tcBorders>
            <w:tcMar>
              <w:top w:w="0" w:type="dxa"/>
              <w:left w:w="108" w:type="dxa"/>
              <w:bottom w:w="0" w:type="dxa"/>
              <w:right w:w="108" w:type="dxa"/>
            </w:tcMar>
            <w:vAlign w:val="bottom"/>
          </w:tcPr>
          <w:p w:rsidR="00221B24" w:rsidRDefault="00221B24" w:rsidP="00B01406">
            <w:pPr>
              <w:pStyle w:val="bceextbcn"/>
              <w:suppressAutoHyphens w:val="0"/>
              <w:spacing w:before="0" w:after="0" w:line="240" w:lineRule="auto"/>
              <w:rPr>
                <w:rFonts w:ascii="Times New Roman" w:hAnsi="Times New Roman"/>
                <w:color w:val="auto"/>
                <w:sz w:val="24"/>
                <w:lang w:val="en-US"/>
              </w:rPr>
            </w:pPr>
            <w:r>
              <w:rPr>
                <w:rStyle w:val="46lightital"/>
                <w:rFonts w:ascii="Times New Roman" w:hAnsi="Times New Roman"/>
                <w:i/>
                <w:iCs/>
                <w:color w:val="auto"/>
                <w:sz w:val="24"/>
                <w:lang w:val="en-US"/>
              </w:rPr>
              <w:t>2015 ($m)</w:t>
            </w:r>
          </w:p>
        </w:tc>
        <w:tc>
          <w:tcPr>
            <w:tcW w:w="1270" w:type="dxa"/>
            <w:tcBorders>
              <w:top w:val="single" w:sz="4" w:space="0" w:color="auto"/>
              <w:bottom w:val="single" w:sz="4" w:space="0" w:color="auto"/>
            </w:tcBorders>
            <w:tcMar>
              <w:top w:w="0" w:type="dxa"/>
              <w:left w:w="108" w:type="dxa"/>
              <w:bottom w:w="0" w:type="dxa"/>
              <w:right w:w="108" w:type="dxa"/>
            </w:tcMar>
            <w:vAlign w:val="bottom"/>
          </w:tcPr>
          <w:p w:rsidR="00221B24" w:rsidRDefault="00221B24" w:rsidP="00B01406">
            <w:pPr>
              <w:pStyle w:val="bceextbcn"/>
              <w:suppressAutoHyphens w:val="0"/>
              <w:spacing w:before="0" w:after="0" w:line="240" w:lineRule="auto"/>
              <w:rPr>
                <w:rFonts w:ascii="Times New Roman" w:hAnsi="Times New Roman"/>
                <w:color w:val="auto"/>
                <w:sz w:val="24"/>
                <w:lang w:val="en-US"/>
              </w:rPr>
            </w:pPr>
            <w:r>
              <w:rPr>
                <w:rStyle w:val="46lightital"/>
                <w:rFonts w:ascii="Times New Roman" w:hAnsi="Times New Roman"/>
                <w:i/>
                <w:iCs/>
                <w:color w:val="auto"/>
                <w:sz w:val="24"/>
                <w:lang w:val="en-US"/>
              </w:rPr>
              <w:t>2016 ($m)</w:t>
            </w:r>
          </w:p>
        </w:tc>
        <w:tc>
          <w:tcPr>
            <w:tcW w:w="1270" w:type="dxa"/>
            <w:tcBorders>
              <w:top w:val="single" w:sz="4" w:space="0" w:color="auto"/>
              <w:bottom w:val="single" w:sz="4" w:space="0" w:color="auto"/>
            </w:tcBorders>
            <w:tcMar>
              <w:top w:w="0" w:type="dxa"/>
              <w:left w:w="108" w:type="dxa"/>
              <w:bottom w:w="0" w:type="dxa"/>
              <w:right w:w="108" w:type="dxa"/>
            </w:tcMar>
            <w:vAlign w:val="bottom"/>
          </w:tcPr>
          <w:p w:rsidR="00221B24" w:rsidRDefault="00221B24" w:rsidP="00B01406">
            <w:pPr>
              <w:pStyle w:val="bceextbcn"/>
              <w:suppressAutoHyphens w:val="0"/>
              <w:spacing w:before="0" w:after="0" w:line="240" w:lineRule="auto"/>
              <w:rPr>
                <w:rFonts w:ascii="Times New Roman" w:hAnsi="Times New Roman"/>
                <w:color w:val="auto"/>
                <w:sz w:val="24"/>
                <w:lang w:val="en-US"/>
              </w:rPr>
            </w:pPr>
            <w:r>
              <w:rPr>
                <w:rStyle w:val="46lightital"/>
                <w:rFonts w:ascii="Times New Roman" w:hAnsi="Times New Roman"/>
                <w:i/>
                <w:iCs/>
                <w:color w:val="auto"/>
                <w:sz w:val="24"/>
                <w:lang w:val="en-US"/>
              </w:rPr>
              <w:t>2017($m)</w:t>
            </w:r>
          </w:p>
        </w:tc>
      </w:tr>
      <w:tr w:rsidR="00221B24" w:rsidTr="00B01406">
        <w:trPr>
          <w:trHeight w:val="23"/>
        </w:trPr>
        <w:tc>
          <w:tcPr>
            <w:tcW w:w="3530" w:type="dxa"/>
            <w:tcBorders>
              <w:top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rPr>
                <w:color w:val="auto"/>
                <w:sz w:val="24"/>
                <w:lang w:val="en-US"/>
              </w:rPr>
            </w:pPr>
            <w:r>
              <w:rPr>
                <w:rFonts w:ascii="Times New Roman" w:hAnsi="Times New Roman"/>
                <w:color w:val="auto"/>
                <w:sz w:val="24"/>
                <w:lang w:val="en-US"/>
              </w:rPr>
              <w:t xml:space="preserve">Costs for the year </w:t>
            </w:r>
          </w:p>
        </w:tc>
        <w:tc>
          <w:tcPr>
            <w:tcW w:w="1270" w:type="dxa"/>
            <w:tcBorders>
              <w:top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10 </w:t>
            </w:r>
          </w:p>
        </w:tc>
        <w:tc>
          <w:tcPr>
            <w:tcW w:w="1270" w:type="dxa"/>
            <w:tcBorders>
              <w:top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18 </w:t>
            </w:r>
          </w:p>
        </w:tc>
        <w:tc>
          <w:tcPr>
            <w:tcW w:w="1270" w:type="dxa"/>
            <w:tcBorders>
              <w:top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12 </w:t>
            </w:r>
          </w:p>
        </w:tc>
      </w:tr>
      <w:tr w:rsidR="00221B24" w:rsidTr="00B01406">
        <w:trPr>
          <w:trHeight w:val="23"/>
        </w:trPr>
        <w:tc>
          <w:tcPr>
            <w:tcW w:w="3530" w:type="dxa"/>
            <w:tcMar>
              <w:top w:w="0" w:type="dxa"/>
              <w:left w:w="108" w:type="dxa"/>
              <w:bottom w:w="0" w:type="dxa"/>
              <w:right w:w="108" w:type="dxa"/>
            </w:tcMar>
          </w:tcPr>
          <w:p w:rsidR="00221B24" w:rsidRDefault="00221B24" w:rsidP="00B01406">
            <w:pPr>
              <w:pStyle w:val="bceextbtx"/>
              <w:suppressAutoHyphens w:val="0"/>
              <w:spacing w:line="240" w:lineRule="auto"/>
              <w:rPr>
                <w:color w:val="auto"/>
                <w:sz w:val="24"/>
                <w:lang w:val="en-US"/>
              </w:rPr>
            </w:pPr>
            <w:r>
              <w:rPr>
                <w:rFonts w:ascii="Times New Roman" w:hAnsi="Times New Roman"/>
                <w:color w:val="auto"/>
                <w:sz w:val="24"/>
                <w:lang w:val="en-US"/>
              </w:rPr>
              <w:t xml:space="preserve">Costs incurred to date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10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28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40 </w:t>
            </w:r>
          </w:p>
        </w:tc>
      </w:tr>
      <w:tr w:rsidR="00221B24" w:rsidTr="00B01406">
        <w:trPr>
          <w:trHeight w:val="23"/>
        </w:trPr>
        <w:tc>
          <w:tcPr>
            <w:tcW w:w="3530" w:type="dxa"/>
            <w:tcMar>
              <w:top w:w="0" w:type="dxa"/>
              <w:left w:w="108" w:type="dxa"/>
              <w:bottom w:w="0" w:type="dxa"/>
              <w:right w:w="108" w:type="dxa"/>
            </w:tcMar>
          </w:tcPr>
          <w:p w:rsidR="00221B24" w:rsidRDefault="00221B24" w:rsidP="00B01406">
            <w:pPr>
              <w:pStyle w:val="bceextbtx"/>
              <w:suppressAutoHyphens w:val="0"/>
              <w:spacing w:line="240" w:lineRule="auto"/>
              <w:rPr>
                <w:color w:val="auto"/>
                <w:sz w:val="24"/>
                <w:lang w:val="en-US"/>
              </w:rPr>
            </w:pPr>
            <w:r>
              <w:rPr>
                <w:rFonts w:ascii="Times New Roman" w:hAnsi="Times New Roman"/>
                <w:color w:val="auto"/>
                <w:sz w:val="24"/>
                <w:lang w:val="en-US"/>
              </w:rPr>
              <w:t xml:space="preserve">Estimated costs to complete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28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12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 </w:t>
            </w:r>
          </w:p>
        </w:tc>
      </w:tr>
      <w:tr w:rsidR="00221B24" w:rsidTr="00B01406">
        <w:trPr>
          <w:trHeight w:val="23"/>
        </w:trPr>
        <w:tc>
          <w:tcPr>
            <w:tcW w:w="3530" w:type="dxa"/>
            <w:tcMar>
              <w:top w:w="0" w:type="dxa"/>
              <w:left w:w="108" w:type="dxa"/>
              <w:bottom w:w="0" w:type="dxa"/>
              <w:right w:w="108" w:type="dxa"/>
            </w:tcMar>
          </w:tcPr>
          <w:p w:rsidR="00221B24" w:rsidRDefault="00221B24" w:rsidP="00B01406">
            <w:pPr>
              <w:pStyle w:val="bceextbtx"/>
              <w:suppressAutoHyphens w:val="0"/>
              <w:spacing w:line="240" w:lineRule="auto"/>
              <w:rPr>
                <w:color w:val="auto"/>
                <w:sz w:val="24"/>
                <w:lang w:val="en-US"/>
              </w:rPr>
            </w:pPr>
            <w:r>
              <w:rPr>
                <w:rFonts w:ascii="Times New Roman" w:hAnsi="Times New Roman"/>
                <w:color w:val="auto"/>
                <w:sz w:val="24"/>
                <w:lang w:val="en-US"/>
              </w:rPr>
              <w:t xml:space="preserve">Progress billings during the year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12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20 </w:t>
            </w:r>
          </w:p>
        </w:tc>
        <w:tc>
          <w:tcPr>
            <w:tcW w:w="1270" w:type="dxa"/>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18 </w:t>
            </w:r>
          </w:p>
        </w:tc>
      </w:tr>
      <w:tr w:rsidR="00221B24" w:rsidTr="00B01406">
        <w:trPr>
          <w:trHeight w:val="23"/>
        </w:trPr>
        <w:tc>
          <w:tcPr>
            <w:tcW w:w="3530" w:type="dxa"/>
            <w:tcBorders>
              <w:bottom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rPr>
                <w:color w:val="auto"/>
                <w:sz w:val="24"/>
                <w:lang w:val="en-US"/>
              </w:rPr>
            </w:pPr>
            <w:r>
              <w:rPr>
                <w:rFonts w:ascii="Times New Roman" w:hAnsi="Times New Roman"/>
                <w:color w:val="auto"/>
                <w:sz w:val="24"/>
                <w:lang w:val="en-US"/>
              </w:rPr>
              <w:t xml:space="preserve">Cash collected during the year </w:t>
            </w:r>
          </w:p>
        </w:tc>
        <w:tc>
          <w:tcPr>
            <w:tcW w:w="1270" w:type="dxa"/>
            <w:tcBorders>
              <w:bottom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11 </w:t>
            </w:r>
          </w:p>
        </w:tc>
        <w:tc>
          <w:tcPr>
            <w:tcW w:w="1270" w:type="dxa"/>
            <w:tcBorders>
              <w:bottom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 xml:space="preserve">19 </w:t>
            </w:r>
          </w:p>
        </w:tc>
        <w:tc>
          <w:tcPr>
            <w:tcW w:w="1270" w:type="dxa"/>
            <w:tcBorders>
              <w:bottom w:val="single" w:sz="4" w:space="0" w:color="auto"/>
            </w:tcBorders>
            <w:tcMar>
              <w:top w:w="0" w:type="dxa"/>
              <w:left w:w="108" w:type="dxa"/>
              <w:bottom w:w="0" w:type="dxa"/>
              <w:right w:w="108" w:type="dxa"/>
            </w:tcMar>
          </w:tcPr>
          <w:p w:rsidR="00221B24" w:rsidRDefault="00221B24" w:rsidP="00B01406">
            <w:pPr>
              <w:pStyle w:val="bceextbtx"/>
              <w:suppressAutoHyphens w:val="0"/>
              <w:spacing w:line="240" w:lineRule="auto"/>
              <w:jc w:val="right"/>
              <w:rPr>
                <w:rFonts w:ascii="Times New Roman" w:hAnsi="Times New Roman"/>
                <w:color w:val="auto"/>
                <w:sz w:val="24"/>
                <w:lang w:val="en-US"/>
              </w:rPr>
            </w:pPr>
            <w:r>
              <w:rPr>
                <w:rFonts w:ascii="Times New Roman" w:hAnsi="Times New Roman"/>
                <w:color w:val="auto"/>
                <w:sz w:val="24"/>
                <w:lang w:val="en-US"/>
              </w:rPr>
              <w:t>20</w:t>
            </w:r>
          </w:p>
        </w:tc>
      </w:tr>
    </w:tbl>
    <w:p w:rsidR="00221B24" w:rsidRDefault="00221B24" w:rsidP="00221B24">
      <w:pPr>
        <w:pStyle w:val="bceexha"/>
        <w:suppressAutoHyphens w:val="0"/>
        <w:spacing w:line="240" w:lineRule="auto"/>
        <w:rPr>
          <w:rFonts w:ascii="Times New Roman" w:hAnsi="Times New Roman"/>
          <w:color w:val="auto"/>
          <w:spacing w:val="0"/>
          <w:sz w:val="24"/>
          <w:lang w:val="en-US"/>
        </w:rPr>
      </w:pPr>
      <w:r>
        <w:rPr>
          <w:rFonts w:ascii="Times New Roman" w:hAnsi="Times New Roman"/>
          <w:color w:val="auto"/>
          <w:spacing w:val="0"/>
          <w:sz w:val="24"/>
          <w:lang w:val="en-US"/>
        </w:rPr>
        <w:t>Required</w:t>
      </w:r>
    </w:p>
    <w:p w:rsidR="00221B24" w:rsidRDefault="00221B24" w:rsidP="00221B24">
      <w:pPr>
        <w:pStyle w:val="bcepqln"/>
        <w:tabs>
          <w:tab w:val="left" w:pos="600"/>
        </w:tabs>
        <w:suppressAutoHyphens w:val="0"/>
        <w:spacing w:line="240" w:lineRule="auto"/>
        <w:ind w:left="425" w:hanging="425"/>
        <w:rPr>
          <w:rFonts w:ascii="Times New Roman" w:hAnsi="Times New Roman"/>
          <w:color w:val="auto"/>
          <w:sz w:val="24"/>
          <w:lang w:val="en-US"/>
        </w:rPr>
      </w:pPr>
      <w:r>
        <w:rPr>
          <w:rFonts w:ascii="Times New Roman" w:hAnsi="Times New Roman"/>
          <w:b/>
          <w:bCs/>
          <w:color w:val="auto"/>
          <w:sz w:val="24"/>
          <w:lang w:val="en-US"/>
        </w:rPr>
        <w:tab/>
        <w:t>(a)</w:t>
      </w:r>
      <w:r>
        <w:rPr>
          <w:rFonts w:ascii="Times New Roman" w:hAnsi="Times New Roman"/>
          <w:b/>
          <w:bCs/>
          <w:color w:val="auto"/>
          <w:sz w:val="24"/>
          <w:lang w:val="en-US"/>
        </w:rPr>
        <w:tab/>
      </w:r>
      <w:r>
        <w:rPr>
          <w:rFonts w:ascii="Times New Roman" w:hAnsi="Times New Roman"/>
          <w:b/>
          <w:bCs/>
          <w:color w:val="auto"/>
          <w:sz w:val="24"/>
          <w:lang w:val="en-US"/>
        </w:rPr>
        <w:tab/>
      </w:r>
      <w:r>
        <w:rPr>
          <w:rFonts w:ascii="Times New Roman" w:hAnsi="Times New Roman"/>
          <w:color w:val="auto"/>
          <w:sz w:val="24"/>
          <w:lang w:val="en-US"/>
        </w:rPr>
        <w:t xml:space="preserve">Using the above data, compute the gross profit to be </w:t>
      </w:r>
      <w:proofErr w:type="spellStart"/>
      <w:r>
        <w:rPr>
          <w:rFonts w:ascii="Times New Roman" w:hAnsi="Times New Roman"/>
          <w:color w:val="auto"/>
          <w:sz w:val="24"/>
          <w:lang w:val="en-US"/>
        </w:rPr>
        <w:t>recognised</w:t>
      </w:r>
      <w:proofErr w:type="spellEnd"/>
      <w:r>
        <w:rPr>
          <w:rFonts w:ascii="Times New Roman" w:hAnsi="Times New Roman"/>
          <w:color w:val="auto"/>
          <w:sz w:val="24"/>
          <w:lang w:val="en-US"/>
        </w:rPr>
        <w:t xml:space="preserve"> for each of the three years, assuming that the outcome of the contract can be reliably estimated.</w:t>
      </w:r>
      <w:r>
        <w:rPr>
          <w:rFonts w:ascii="Times New Roman" w:hAnsi="Times New Roman"/>
          <w:b/>
          <w:bCs/>
          <w:color w:val="auto"/>
          <w:sz w:val="24"/>
          <w:lang w:val="en-US"/>
        </w:rPr>
        <w:t>  LO</w:t>
      </w:r>
      <w:r>
        <w:rPr>
          <w:rFonts w:ascii="Times New Roman" w:hAnsi="Times New Roman"/>
          <w:color w:val="auto"/>
          <w:sz w:val="24"/>
          <w:lang w:val="en-US"/>
        </w:rPr>
        <w:t xml:space="preserve"> </w:t>
      </w:r>
      <w:r>
        <w:rPr>
          <w:rStyle w:val="bcepqlo0"/>
          <w:rFonts w:ascii="Times New Roman" w:hAnsi="Times New Roman"/>
          <w:color w:val="auto"/>
          <w:sz w:val="24"/>
          <w:lang w:val="en-US"/>
        </w:rPr>
        <w:t>15.10</w:t>
      </w:r>
    </w:p>
    <w:p w:rsidR="00221B24" w:rsidRDefault="00221B24" w:rsidP="00221B24">
      <w:pPr>
        <w:pStyle w:val="bcepqln"/>
        <w:tabs>
          <w:tab w:val="left" w:pos="600"/>
        </w:tabs>
        <w:suppressAutoHyphens w:val="0"/>
        <w:spacing w:line="240" w:lineRule="auto"/>
        <w:ind w:left="425" w:hanging="425"/>
        <w:rPr>
          <w:rFonts w:ascii="Times New Roman" w:hAnsi="Times New Roman"/>
          <w:color w:val="auto"/>
          <w:sz w:val="24"/>
          <w:lang w:val="en-US"/>
        </w:rPr>
      </w:pPr>
      <w:r>
        <w:rPr>
          <w:rFonts w:ascii="Times New Roman" w:hAnsi="Times New Roman"/>
          <w:b/>
          <w:bCs/>
          <w:color w:val="auto"/>
          <w:sz w:val="24"/>
          <w:lang w:val="en-US"/>
        </w:rPr>
        <w:tab/>
        <w:t>(b)</w:t>
      </w:r>
      <w:r>
        <w:rPr>
          <w:rFonts w:ascii="Times New Roman" w:hAnsi="Times New Roman"/>
          <w:b/>
          <w:bCs/>
          <w:color w:val="auto"/>
          <w:sz w:val="24"/>
          <w:lang w:val="en-US"/>
        </w:rPr>
        <w:tab/>
      </w:r>
      <w:r>
        <w:rPr>
          <w:rFonts w:ascii="Times New Roman" w:hAnsi="Times New Roman"/>
          <w:color w:val="auto"/>
          <w:sz w:val="24"/>
          <w:lang w:val="en-US"/>
        </w:rPr>
        <w:t>Prepare the journal entries for the 2015 financial year using the percentage-of-completion method.</w:t>
      </w:r>
      <w:r>
        <w:rPr>
          <w:rFonts w:ascii="Times New Roman" w:hAnsi="Times New Roman"/>
          <w:b/>
          <w:bCs/>
          <w:color w:val="auto"/>
          <w:sz w:val="24"/>
          <w:lang w:val="en-US"/>
        </w:rPr>
        <w:t>  </w:t>
      </w:r>
    </w:p>
    <w:p w:rsidR="00221B24" w:rsidRPr="0008197B" w:rsidRDefault="00221B24" w:rsidP="0008197B">
      <w:pPr>
        <w:pStyle w:val="bcepqln"/>
        <w:tabs>
          <w:tab w:val="clear" w:pos="283"/>
          <w:tab w:val="left" w:pos="480"/>
          <w:tab w:val="left" w:pos="600"/>
        </w:tabs>
        <w:suppressAutoHyphens w:val="0"/>
        <w:spacing w:line="240" w:lineRule="auto"/>
        <w:ind w:left="425" w:hanging="425"/>
        <w:rPr>
          <w:rFonts w:ascii="Times New Roman" w:hAnsi="Times New Roman"/>
          <w:color w:val="auto"/>
          <w:sz w:val="24"/>
          <w:lang w:val="en-US"/>
        </w:rPr>
      </w:pPr>
      <w:r>
        <w:rPr>
          <w:rFonts w:ascii="Times New Roman" w:hAnsi="Times New Roman"/>
          <w:b/>
          <w:bCs/>
          <w:color w:val="auto"/>
          <w:sz w:val="24"/>
          <w:lang w:val="en-US"/>
        </w:rPr>
        <w:tab/>
        <w:t>(c)</w:t>
      </w:r>
      <w:r>
        <w:rPr>
          <w:rFonts w:ascii="Times New Roman" w:hAnsi="Times New Roman"/>
          <w:b/>
          <w:bCs/>
          <w:color w:val="auto"/>
          <w:sz w:val="24"/>
          <w:lang w:val="en-US"/>
        </w:rPr>
        <w:tab/>
      </w:r>
      <w:r>
        <w:rPr>
          <w:rFonts w:ascii="Times New Roman" w:hAnsi="Times New Roman"/>
          <w:color w:val="auto"/>
          <w:sz w:val="24"/>
          <w:lang w:val="en-US"/>
        </w:rPr>
        <w:t>Prepare the journal entries for the 2015 financial year, assuming the stage of completion cannot be reliably assessed.</w:t>
      </w:r>
      <w:r>
        <w:rPr>
          <w:rFonts w:ascii="Times New Roman" w:hAnsi="Times New Roman"/>
          <w:b/>
          <w:bCs/>
          <w:color w:val="auto"/>
          <w:sz w:val="24"/>
          <w:lang w:val="en-US"/>
        </w:rPr>
        <w:t>  </w:t>
      </w:r>
    </w:p>
    <w:sectPr w:rsidR="00221B24" w:rsidRPr="00081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HelveticaNeueLTStd-Lt">
    <w:altName w:val="Times New Roman"/>
    <w:panose1 w:val="00000000000000000000"/>
    <w:charset w:val="00"/>
    <w:family w:val="auto"/>
    <w:notTrueType/>
    <w:pitch w:val="default"/>
    <w:sig w:usb0="00000003" w:usb1="00000000" w:usb2="00000000" w:usb3="00000000" w:csb0="00000001" w:csb1="00000000"/>
  </w:font>
  <w:font w:name="HelveticaNeueLTStd-Bd">
    <w:panose1 w:val="00000000000000000000"/>
    <w:charset w:val="4D"/>
    <w:family w:val="auto"/>
    <w:notTrueType/>
    <w:pitch w:val="default"/>
    <w:sig w:usb0="00000003" w:usb1="00000000" w:usb2="00000000" w:usb3="00000000" w:csb0="00000001" w:csb1="00000000"/>
  </w:font>
  <w:font w:name="HelveticaNeueLTStd-LtIt">
    <w:altName w:val="Times New Roman"/>
    <w:panose1 w:val="00000000000000000000"/>
    <w:charset w:val="4D"/>
    <w:family w:val="auto"/>
    <w:notTrueType/>
    <w:pitch w:val="default"/>
    <w:sig w:usb0="00000003" w:usb1="00000000" w:usb2="00000000" w:usb3="00000000" w:csb0="00000001" w:csb1="00000000"/>
  </w:font>
  <w:font w:name="MathematicalPiLTStd-1">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3372" w:hanging="360"/>
      </w:pPr>
      <w:rPr>
        <w:rFonts w:ascii="Times New Roman" w:hAnsi="Times New Roman" w:cs="Times New Roman"/>
        <w:b w:val="0"/>
        <w:bCs w:val="0"/>
        <w:w w:val="99"/>
        <w:sz w:val="24"/>
        <w:szCs w:val="24"/>
      </w:rPr>
    </w:lvl>
    <w:lvl w:ilvl="1">
      <w:numFmt w:val="bullet"/>
      <w:lvlText w:val="•"/>
      <w:lvlJc w:val="left"/>
      <w:pPr>
        <w:ind w:left="3931" w:hanging="360"/>
      </w:pPr>
    </w:lvl>
    <w:lvl w:ilvl="2">
      <w:numFmt w:val="bullet"/>
      <w:lvlText w:val="•"/>
      <w:lvlJc w:val="left"/>
      <w:pPr>
        <w:ind w:left="4490" w:hanging="360"/>
      </w:pPr>
    </w:lvl>
    <w:lvl w:ilvl="3">
      <w:numFmt w:val="bullet"/>
      <w:lvlText w:val="•"/>
      <w:lvlJc w:val="left"/>
      <w:pPr>
        <w:ind w:left="5048" w:hanging="360"/>
      </w:pPr>
    </w:lvl>
    <w:lvl w:ilvl="4">
      <w:numFmt w:val="bullet"/>
      <w:lvlText w:val="•"/>
      <w:lvlJc w:val="left"/>
      <w:pPr>
        <w:ind w:left="5607" w:hanging="360"/>
      </w:pPr>
    </w:lvl>
    <w:lvl w:ilvl="5">
      <w:numFmt w:val="bullet"/>
      <w:lvlText w:val="•"/>
      <w:lvlJc w:val="left"/>
      <w:pPr>
        <w:ind w:left="6166" w:hanging="360"/>
      </w:pPr>
    </w:lvl>
    <w:lvl w:ilvl="6">
      <w:numFmt w:val="bullet"/>
      <w:lvlText w:val="•"/>
      <w:lvlJc w:val="left"/>
      <w:pPr>
        <w:ind w:left="6725" w:hanging="360"/>
      </w:pPr>
    </w:lvl>
    <w:lvl w:ilvl="7">
      <w:numFmt w:val="bullet"/>
      <w:lvlText w:val="•"/>
      <w:lvlJc w:val="left"/>
      <w:pPr>
        <w:ind w:left="7283" w:hanging="360"/>
      </w:pPr>
    </w:lvl>
    <w:lvl w:ilvl="8">
      <w:numFmt w:val="bullet"/>
      <w:lvlText w:val="•"/>
      <w:lvlJc w:val="left"/>
      <w:pPr>
        <w:ind w:left="784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83"/>
    <w:rsid w:val="0003468A"/>
    <w:rsid w:val="0008197B"/>
    <w:rsid w:val="00221B24"/>
    <w:rsid w:val="0024140F"/>
    <w:rsid w:val="00427C83"/>
    <w:rsid w:val="00472BE3"/>
    <w:rsid w:val="00477D5C"/>
    <w:rsid w:val="00647F84"/>
    <w:rsid w:val="007E44C4"/>
    <w:rsid w:val="0080337C"/>
    <w:rsid w:val="00855B1F"/>
    <w:rsid w:val="009D5482"/>
    <w:rsid w:val="00B27216"/>
    <w:rsid w:val="00C26F08"/>
    <w:rsid w:val="00E727F7"/>
    <w:rsid w:val="00ED6C88"/>
    <w:rsid w:val="00F755FF"/>
    <w:rsid w:val="00FC5C0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AA29A-642A-44B4-92C4-BAE928BC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4C4"/>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link w:val="Heading1Char"/>
    <w:uiPriority w:val="1"/>
    <w:qFormat/>
    <w:rsid w:val="007E44C4"/>
    <w:pPr>
      <w:widowControl w:val="0"/>
      <w:spacing w:before="55"/>
      <w:outlineLvl w:val="0"/>
    </w:pPr>
    <w:rPr>
      <w:rFonts w:ascii="Arial" w:eastAsia="Arial" w:hAnsi="Arial" w:cstheme="min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E44C4"/>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eastAsia="en-US"/>
    </w:rPr>
  </w:style>
  <w:style w:type="paragraph" w:customStyle="1" w:styleId="bcepqtt">
    <w:name w:val="bcepq_tt"/>
    <w:basedOn w:val="NoParagraphStyle"/>
    <w:rsid w:val="007E44C4"/>
    <w:pPr>
      <w:pBdr>
        <w:bottom w:val="single" w:sz="22" w:space="12" w:color="4F2582"/>
      </w:pBdr>
      <w:suppressAutoHyphens/>
      <w:spacing w:before="567" w:line="400" w:lineRule="atLeast"/>
    </w:pPr>
    <w:rPr>
      <w:rFonts w:ascii="HelveticaNeueLTStd-Lt" w:hAnsi="HelveticaNeueLTStd-Lt" w:cs="HelveticaNeueLTStd-Lt"/>
      <w:caps/>
      <w:color w:val="4F2582"/>
      <w:spacing w:val="-12"/>
      <w:position w:val="-10"/>
      <w:sz w:val="40"/>
      <w:szCs w:val="40"/>
    </w:rPr>
  </w:style>
  <w:style w:type="paragraph" w:customStyle="1" w:styleId="bcesutxfirst">
    <w:name w:val="bcesu_tx.first"/>
    <w:basedOn w:val="NoParagraphStyle"/>
    <w:rsid w:val="007E44C4"/>
    <w:pPr>
      <w:suppressAutoHyphens/>
      <w:spacing w:before="820" w:line="240" w:lineRule="atLeast"/>
      <w:jc w:val="both"/>
    </w:pPr>
    <w:rPr>
      <w:rFonts w:ascii="HelveticaNeueLTStd-Lt" w:hAnsi="HelveticaNeueLTStd-Lt" w:cs="HelveticaNeueLTStd-Lt"/>
      <w:sz w:val="18"/>
      <w:szCs w:val="18"/>
    </w:rPr>
  </w:style>
  <w:style w:type="paragraph" w:customStyle="1" w:styleId="bceexha">
    <w:name w:val="bceex_ha"/>
    <w:basedOn w:val="NoParagraphStyle"/>
    <w:rsid w:val="007E44C4"/>
    <w:pPr>
      <w:tabs>
        <w:tab w:val="left" w:pos="283"/>
      </w:tabs>
      <w:suppressAutoHyphens/>
      <w:spacing w:before="240" w:line="240" w:lineRule="atLeast"/>
    </w:pPr>
    <w:rPr>
      <w:rFonts w:ascii="HelveticaNeueLTStd-Bd" w:hAnsi="HelveticaNeueLTStd-Bd" w:cs="HelveticaNeueLTStd-Bd"/>
      <w:b/>
      <w:bCs/>
      <w:caps/>
      <w:color w:val="4F2582"/>
      <w:spacing w:val="-3"/>
      <w:sz w:val="16"/>
      <w:szCs w:val="16"/>
    </w:rPr>
  </w:style>
  <w:style w:type="paragraph" w:customStyle="1" w:styleId="bceexlafirst">
    <w:name w:val="bceex_la.first"/>
    <w:basedOn w:val="NoParagraphStyle"/>
    <w:rsid w:val="007E44C4"/>
    <w:pPr>
      <w:tabs>
        <w:tab w:val="left" w:pos="2"/>
        <w:tab w:val="left" w:pos="283"/>
        <w:tab w:val="left" w:pos="4960"/>
        <w:tab w:val="right" w:pos="9524"/>
        <w:tab w:val="right" w:pos="9638"/>
      </w:tabs>
      <w:suppressAutoHyphens/>
      <w:spacing w:line="240" w:lineRule="atLeast"/>
      <w:ind w:left="283" w:hanging="283"/>
    </w:pPr>
    <w:rPr>
      <w:rFonts w:ascii="HelveticaNeueLTStd-Lt" w:hAnsi="HelveticaNeueLTStd-Lt" w:cs="HelveticaNeueLTStd-Lt"/>
      <w:sz w:val="16"/>
      <w:szCs w:val="16"/>
    </w:rPr>
  </w:style>
  <w:style w:type="paragraph" w:customStyle="1" w:styleId="bceexla">
    <w:name w:val="bceex_la"/>
    <w:basedOn w:val="NoParagraphStyle"/>
    <w:rsid w:val="007E44C4"/>
    <w:pPr>
      <w:tabs>
        <w:tab w:val="left" w:pos="2"/>
        <w:tab w:val="left" w:pos="283"/>
        <w:tab w:val="left" w:pos="4960"/>
        <w:tab w:val="right" w:pos="9524"/>
        <w:tab w:val="right" w:pos="9638"/>
      </w:tabs>
      <w:suppressAutoHyphens/>
      <w:spacing w:line="234" w:lineRule="atLeast"/>
      <w:ind w:left="283" w:hanging="283"/>
    </w:pPr>
    <w:rPr>
      <w:rFonts w:ascii="HelveticaNeueLTStd-Lt" w:hAnsi="HelveticaNeueLTStd-Lt" w:cs="HelveticaNeueLTStd-Lt"/>
      <w:sz w:val="16"/>
      <w:szCs w:val="16"/>
    </w:rPr>
  </w:style>
  <w:style w:type="paragraph" w:customStyle="1" w:styleId="bceexhaa">
    <w:name w:val="bceex_ha_a"/>
    <w:basedOn w:val="NoParagraphStyle"/>
    <w:rsid w:val="007E44C4"/>
    <w:pPr>
      <w:tabs>
        <w:tab w:val="left" w:pos="283"/>
      </w:tabs>
      <w:suppressAutoHyphens/>
      <w:spacing w:before="240" w:line="240" w:lineRule="atLeast"/>
    </w:pPr>
    <w:rPr>
      <w:rFonts w:ascii="HelveticaNeueLTStd-Bd" w:hAnsi="HelveticaNeueLTStd-Bd" w:cs="HelveticaNeueLTStd-Bd"/>
      <w:b/>
      <w:bCs/>
      <w:caps/>
      <w:color w:val="4F2582"/>
      <w:spacing w:val="-3"/>
      <w:sz w:val="16"/>
      <w:szCs w:val="16"/>
    </w:rPr>
  </w:style>
  <w:style w:type="paragraph" w:customStyle="1" w:styleId="bcesutbtx">
    <w:name w:val="bcesu_tbtx"/>
    <w:basedOn w:val="NoParagraphStyle"/>
    <w:rsid w:val="007E44C4"/>
    <w:pPr>
      <w:suppressAutoHyphens/>
      <w:spacing w:line="240" w:lineRule="atLeast"/>
      <w:jc w:val="both"/>
    </w:pPr>
    <w:rPr>
      <w:rFonts w:ascii="HelveticaNeueLTStd-Lt" w:hAnsi="HelveticaNeueLTStd-Lt" w:cs="HelveticaNeueLTStd-Lt"/>
      <w:sz w:val="18"/>
      <w:szCs w:val="18"/>
    </w:rPr>
  </w:style>
  <w:style w:type="paragraph" w:customStyle="1" w:styleId="bceextbcn">
    <w:name w:val="bceex_tbcn"/>
    <w:basedOn w:val="NoParagraphStyle"/>
    <w:rsid w:val="007E44C4"/>
    <w:pPr>
      <w:suppressAutoHyphens/>
      <w:spacing w:before="198" w:after="142" w:line="220" w:lineRule="atLeast"/>
      <w:ind w:left="283"/>
      <w:jc w:val="right"/>
    </w:pPr>
    <w:rPr>
      <w:rFonts w:ascii="HelveticaNeueLTStd-LtIt" w:hAnsi="HelveticaNeueLTStd-LtIt" w:cs="HelveticaNeueLTStd-LtIt"/>
      <w:i/>
      <w:iCs/>
      <w:sz w:val="16"/>
      <w:szCs w:val="16"/>
    </w:rPr>
  </w:style>
  <w:style w:type="paragraph" w:customStyle="1" w:styleId="bceextbtx">
    <w:name w:val="bceex_tbtx"/>
    <w:basedOn w:val="NoParagraphStyle"/>
    <w:rsid w:val="007E44C4"/>
    <w:pPr>
      <w:suppressAutoHyphens/>
      <w:spacing w:line="240" w:lineRule="atLeast"/>
    </w:pPr>
    <w:rPr>
      <w:rFonts w:ascii="HelveticaNeueLTStd-Lt" w:hAnsi="HelveticaNeueLTStd-Lt" w:cs="HelveticaNeueLTStd-Lt"/>
      <w:sz w:val="16"/>
      <w:szCs w:val="16"/>
    </w:rPr>
  </w:style>
  <w:style w:type="paragraph" w:customStyle="1" w:styleId="EOCtablebottomrule">
    <w:name w:val="EOC table_bottom rule"/>
    <w:basedOn w:val="NoParagraphStyle"/>
    <w:rsid w:val="007E44C4"/>
    <w:pPr>
      <w:pBdr>
        <w:bottom w:val="single" w:sz="4" w:space="5" w:color="4F2582"/>
      </w:pBdr>
      <w:tabs>
        <w:tab w:val="left" w:pos="1160"/>
        <w:tab w:val="right" w:pos="6803"/>
        <w:tab w:val="right" w:pos="8500"/>
      </w:tabs>
      <w:suppressAutoHyphens/>
      <w:spacing w:line="240" w:lineRule="atLeast"/>
      <w:ind w:left="283"/>
      <w:jc w:val="both"/>
    </w:pPr>
    <w:rPr>
      <w:rFonts w:ascii="HelveticaNeueLTStd-Lt" w:hAnsi="HelveticaNeueLTStd-Lt" w:cs="HelveticaNeueLTStd-Lt"/>
      <w:sz w:val="16"/>
      <w:szCs w:val="16"/>
    </w:rPr>
  </w:style>
  <w:style w:type="character" w:customStyle="1" w:styleId="75bold">
    <w:name w:val="75 bold"/>
    <w:rsid w:val="007E44C4"/>
    <w:rPr>
      <w:b/>
      <w:bCs/>
    </w:rPr>
  </w:style>
  <w:style w:type="character" w:customStyle="1" w:styleId="bcepqLO">
    <w:name w:val="bcepq_LO"/>
    <w:rsid w:val="007E44C4"/>
    <w:rPr>
      <w:b/>
      <w:bCs/>
      <w:color w:val="4F2582"/>
      <w:sz w:val="18"/>
      <w:szCs w:val="18"/>
    </w:rPr>
  </w:style>
  <w:style w:type="character" w:customStyle="1" w:styleId="46lightital">
    <w:name w:val="46 light ital"/>
    <w:rsid w:val="007E44C4"/>
    <w:rPr>
      <w:i/>
      <w:iCs/>
    </w:rPr>
  </w:style>
  <w:style w:type="character" w:customStyle="1" w:styleId="Heading1Char">
    <w:name w:val="Heading 1 Char"/>
    <w:basedOn w:val="DefaultParagraphFont"/>
    <w:link w:val="Heading1"/>
    <w:uiPriority w:val="1"/>
    <w:rsid w:val="007E44C4"/>
    <w:rPr>
      <w:rFonts w:ascii="Arial" w:eastAsia="Arial" w:hAnsi="Arial"/>
      <w:sz w:val="28"/>
      <w:szCs w:val="28"/>
      <w:lang w:val="en-US" w:eastAsia="en-US"/>
    </w:rPr>
  </w:style>
  <w:style w:type="paragraph" w:styleId="BodyText">
    <w:name w:val="Body Text"/>
    <w:basedOn w:val="Normal"/>
    <w:link w:val="BodyTextChar"/>
    <w:uiPriority w:val="1"/>
    <w:qFormat/>
    <w:rsid w:val="007E44C4"/>
    <w:pPr>
      <w:widowControl w:val="0"/>
      <w:ind w:left="353"/>
    </w:pPr>
    <w:rPr>
      <w:rFonts w:ascii="Arial" w:eastAsia="Arial" w:hAnsi="Arial" w:cstheme="minorBidi"/>
      <w:sz w:val="18"/>
      <w:szCs w:val="18"/>
    </w:rPr>
  </w:style>
  <w:style w:type="character" w:customStyle="1" w:styleId="BodyTextChar">
    <w:name w:val="Body Text Char"/>
    <w:basedOn w:val="DefaultParagraphFont"/>
    <w:link w:val="BodyText"/>
    <w:uiPriority w:val="1"/>
    <w:rsid w:val="007E44C4"/>
    <w:rPr>
      <w:rFonts w:ascii="Arial" w:eastAsia="Arial" w:hAnsi="Arial"/>
      <w:sz w:val="18"/>
      <w:szCs w:val="18"/>
      <w:lang w:val="en-US" w:eastAsia="en-US"/>
    </w:rPr>
  </w:style>
  <w:style w:type="paragraph" w:customStyle="1" w:styleId="bceexlnlast">
    <w:name w:val="bceex_ln.last"/>
    <w:basedOn w:val="NoParagraphStyle"/>
    <w:rsid w:val="00855B1F"/>
    <w:pPr>
      <w:tabs>
        <w:tab w:val="right" w:pos="2"/>
        <w:tab w:val="left" w:pos="60"/>
        <w:tab w:val="left" w:pos="283"/>
        <w:tab w:val="right" w:pos="9524"/>
        <w:tab w:val="right" w:pos="9638"/>
      </w:tabs>
      <w:suppressAutoHyphens/>
      <w:spacing w:line="240" w:lineRule="atLeast"/>
      <w:ind w:left="283" w:hanging="283"/>
    </w:pPr>
    <w:rPr>
      <w:rFonts w:ascii="HelveticaNeueLTStd-Lt" w:hAnsi="HelveticaNeueLTStd-Lt" w:cs="HelveticaNeueLTStd-Lt"/>
      <w:sz w:val="16"/>
      <w:szCs w:val="16"/>
    </w:rPr>
  </w:style>
  <w:style w:type="paragraph" w:customStyle="1" w:styleId="bcepqlnla">
    <w:name w:val="bcepq_lnla"/>
    <w:basedOn w:val="NoParagraphStyle"/>
    <w:rsid w:val="00855B1F"/>
    <w:pPr>
      <w:tabs>
        <w:tab w:val="left" w:pos="283"/>
        <w:tab w:val="left" w:pos="566"/>
        <w:tab w:val="left" w:pos="4960"/>
        <w:tab w:val="right" w:pos="9524"/>
        <w:tab w:val="right" w:pos="9638"/>
      </w:tabs>
      <w:suppressAutoHyphens/>
      <w:spacing w:line="234" w:lineRule="atLeast"/>
      <w:ind w:left="566" w:hanging="566"/>
    </w:pPr>
    <w:rPr>
      <w:rFonts w:ascii="HelveticaNeueLTStd-Lt" w:hAnsi="HelveticaNeueLTStd-Lt" w:cs="HelveticaNeueLTStd-Lt"/>
      <w:sz w:val="16"/>
      <w:szCs w:val="16"/>
    </w:rPr>
  </w:style>
  <w:style w:type="paragraph" w:customStyle="1" w:styleId="bceextxfirst">
    <w:name w:val="bceex_tx.first"/>
    <w:basedOn w:val="NoParagraphStyle"/>
    <w:rsid w:val="00855B1F"/>
    <w:pPr>
      <w:suppressAutoHyphens/>
      <w:spacing w:line="240" w:lineRule="atLeast"/>
      <w:jc w:val="both"/>
    </w:pPr>
    <w:rPr>
      <w:rFonts w:ascii="HelveticaNeueLTStd-Lt" w:hAnsi="HelveticaNeueLTStd-Lt" w:cs="HelveticaNeueLTStd-Lt"/>
      <w:sz w:val="18"/>
      <w:szCs w:val="18"/>
    </w:rPr>
  </w:style>
  <w:style w:type="paragraph" w:customStyle="1" w:styleId="bcepqtxfirst">
    <w:name w:val="bcepq_tx.first"/>
    <w:basedOn w:val="NoParagraphStyle"/>
    <w:rsid w:val="00855B1F"/>
    <w:pPr>
      <w:tabs>
        <w:tab w:val="left" w:pos="283"/>
        <w:tab w:val="right" w:pos="9524"/>
        <w:tab w:val="right" w:pos="9638"/>
      </w:tabs>
      <w:suppressAutoHyphens/>
      <w:spacing w:line="240" w:lineRule="atLeast"/>
      <w:ind w:left="283"/>
    </w:pPr>
    <w:rPr>
      <w:rFonts w:ascii="HelveticaNeueLTStd-Lt" w:hAnsi="HelveticaNeueLTStd-Lt" w:cs="HelveticaNeueLTStd-Lt"/>
      <w:sz w:val="16"/>
      <w:szCs w:val="16"/>
    </w:rPr>
  </w:style>
  <w:style w:type="paragraph" w:customStyle="1" w:styleId="bcepqln">
    <w:name w:val="bcepq_ln"/>
    <w:basedOn w:val="NoParagraphStyle"/>
    <w:rsid w:val="00855B1F"/>
    <w:pPr>
      <w:tabs>
        <w:tab w:val="right" w:pos="2"/>
        <w:tab w:val="left" w:pos="60"/>
        <w:tab w:val="left" w:pos="283"/>
        <w:tab w:val="right" w:pos="9524"/>
        <w:tab w:val="right" w:pos="9638"/>
      </w:tabs>
      <w:suppressAutoHyphens/>
      <w:spacing w:line="240" w:lineRule="atLeast"/>
      <w:ind w:left="283" w:hanging="283"/>
    </w:pPr>
    <w:rPr>
      <w:rFonts w:ascii="HelveticaNeueLTStd-Lt" w:hAnsi="HelveticaNeueLTStd-Lt" w:cs="HelveticaNeueLTStd-Lt"/>
      <w:sz w:val="16"/>
      <w:szCs w:val="16"/>
    </w:rPr>
  </w:style>
  <w:style w:type="character" w:customStyle="1" w:styleId="mpi">
    <w:name w:val="mpi"/>
    <w:rsid w:val="00855B1F"/>
    <w:rPr>
      <w:rFonts w:ascii="MathematicalPiLTStd-1" w:hAnsi="MathematicalPiLTStd-1" w:cs="MathematicalPiLTStd-1"/>
    </w:rPr>
  </w:style>
  <w:style w:type="character" w:customStyle="1" w:styleId="rule1">
    <w:name w:val="rule_1"/>
    <w:rsid w:val="00855B1F"/>
    <w:rPr>
      <w:strike/>
      <w:u w:val="thick"/>
    </w:rPr>
  </w:style>
  <w:style w:type="character" w:customStyle="1" w:styleId="bcepqlo0">
    <w:name w:val="bcepq_lo"/>
    <w:rsid w:val="00221B24"/>
    <w:rPr>
      <w:b/>
      <w:bCs/>
      <w:color w:val="4F2582"/>
      <w:sz w:val="18"/>
      <w:szCs w:val="18"/>
    </w:rPr>
  </w:style>
  <w:style w:type="character" w:customStyle="1" w:styleId="rule1line">
    <w:name w:val="rule.1line"/>
    <w:rsid w:val="00221B24"/>
    <w:rPr>
      <w:u w:val="thick" w:color="000000"/>
    </w:rPr>
  </w:style>
  <w:style w:type="paragraph" w:styleId="BalloonText">
    <w:name w:val="Balloon Text"/>
    <w:basedOn w:val="Normal"/>
    <w:link w:val="BalloonTextChar"/>
    <w:uiPriority w:val="99"/>
    <w:semiHidden/>
    <w:unhideWhenUsed/>
    <w:rsid w:val="0008197B"/>
    <w:rPr>
      <w:rFonts w:ascii="宋体" w:eastAsia="宋体"/>
      <w:sz w:val="18"/>
      <w:szCs w:val="18"/>
    </w:rPr>
  </w:style>
  <w:style w:type="character" w:customStyle="1" w:styleId="BalloonTextChar">
    <w:name w:val="Balloon Text Char"/>
    <w:basedOn w:val="DefaultParagraphFont"/>
    <w:link w:val="BalloonText"/>
    <w:uiPriority w:val="99"/>
    <w:semiHidden/>
    <w:rsid w:val="0008197B"/>
    <w:rPr>
      <w:rFonts w:ascii="宋体" w:eastAsia="宋体" w:hAnsi="Times New Roman"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dc:creator>
  <cp:keywords/>
  <dc:description/>
  <cp:lastModifiedBy>QiJun Fan</cp:lastModifiedBy>
  <cp:revision>17</cp:revision>
  <cp:lastPrinted>2016-07-27T01:29:00Z</cp:lastPrinted>
  <dcterms:created xsi:type="dcterms:W3CDTF">2016-07-27T01:14:00Z</dcterms:created>
  <dcterms:modified xsi:type="dcterms:W3CDTF">2017-03-12T12:48:00Z</dcterms:modified>
</cp:coreProperties>
</file>